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81" w:rsidRPr="006C02F0" w:rsidRDefault="0038397F">
      <w:pPr>
        <w:pStyle w:val="Heading12"/>
        <w:keepNext/>
        <w:keepLines/>
        <w:pBdr>
          <w:top w:val="single" w:sz="4" w:space="1" w:color="00000A"/>
          <w:left w:val="single" w:sz="4" w:space="4" w:color="00000A"/>
          <w:bottom w:val="single" w:sz="4" w:space="1" w:color="00000A"/>
          <w:right w:val="single" w:sz="4" w:space="4" w:color="00000A"/>
        </w:pBdr>
        <w:shd w:val="clear" w:color="auto" w:fill="DBEEF4"/>
        <w:spacing w:after="214"/>
        <w:ind w:left="380" w:hanging="380"/>
        <w:jc w:val="center"/>
        <w:rPr>
          <w:rFonts w:ascii="Times New Roman" w:hAnsi="Times New Roman" w:cs="Times New Roman"/>
          <w:color w:val="auto"/>
          <w:lang w:val="bg-BG" w:eastAsia="fr-FR" w:bidi="fr-FR"/>
        </w:rPr>
      </w:pPr>
      <w:bookmarkStart w:id="0" w:name="_GoBack"/>
      <w:bookmarkEnd w:id="0"/>
      <w:r w:rsidRPr="006C02F0">
        <w:rPr>
          <w:rFonts w:ascii="Times New Roman" w:hAnsi="Times New Roman" w:cs="Times New Roman"/>
          <w:color w:val="auto"/>
          <w:lang w:val="bg-BG" w:eastAsia="fr-FR" w:bidi="fr-FR"/>
        </w:rPr>
        <w:t xml:space="preserve">ФИНАНСИРАНЕ НА </w:t>
      </w:r>
      <w:r w:rsidR="00D8089D" w:rsidRPr="006C02F0">
        <w:rPr>
          <w:rFonts w:ascii="Times New Roman" w:hAnsi="Times New Roman" w:cs="Times New Roman"/>
          <w:color w:val="auto"/>
          <w:lang w:val="bg-BG" w:eastAsia="fr-FR" w:bidi="fr-FR"/>
        </w:rPr>
        <w:t>ТУРИЗ</w:t>
      </w:r>
      <w:r w:rsidRPr="006C02F0">
        <w:rPr>
          <w:rFonts w:ascii="Times New Roman" w:hAnsi="Times New Roman" w:cs="Times New Roman"/>
          <w:color w:val="auto"/>
          <w:lang w:val="bg-BG" w:eastAsia="fr-FR" w:bidi="fr-FR"/>
        </w:rPr>
        <w:t>МА</w:t>
      </w:r>
      <w:r w:rsidR="00D8089D" w:rsidRPr="006C02F0">
        <w:rPr>
          <w:rFonts w:ascii="Times New Roman" w:hAnsi="Times New Roman" w:cs="Times New Roman"/>
          <w:color w:val="auto"/>
          <w:lang w:val="bg-BG" w:eastAsia="fr-FR" w:bidi="fr-FR"/>
        </w:rPr>
        <w:t xml:space="preserve"> И ДЪРЖАВНА ПОМОЩ</w:t>
      </w:r>
    </w:p>
    <w:p w:rsidR="00EC7D81" w:rsidRPr="006C02F0" w:rsidRDefault="00D8089D">
      <w:pPr>
        <w:pStyle w:val="Bodytext30"/>
        <w:pBdr>
          <w:top w:val="single" w:sz="4" w:space="1" w:color="00000A"/>
          <w:left w:val="single" w:sz="4" w:space="4" w:color="00000A"/>
          <w:bottom w:val="single" w:sz="4" w:space="1" w:color="00000A"/>
          <w:right w:val="single" w:sz="4" w:space="4" w:color="00000A"/>
        </w:pBdr>
        <w:shd w:val="clear" w:color="auto" w:fill="DBEEF4"/>
        <w:spacing w:before="0" w:after="347"/>
        <w:ind w:firstLine="0"/>
        <w:rPr>
          <w:rFonts w:ascii="Times New Roman" w:hAnsi="Times New Roman" w:cs="Times New Roman"/>
          <w:b/>
          <w:color w:val="auto"/>
          <w:lang w:val="bg-BG"/>
        </w:rPr>
      </w:pPr>
      <w:r w:rsidRPr="006C02F0">
        <w:rPr>
          <w:rFonts w:ascii="Times New Roman" w:hAnsi="Times New Roman" w:cs="Times New Roman"/>
          <w:b/>
          <w:color w:val="auto"/>
          <w:lang w:val="bg-BG"/>
        </w:rPr>
        <w:t xml:space="preserve">Това е работен документ, изготвен от службите на ГД „Конкуренция“ с цел да се улесни обсъждането в работната група на държавите членки относно съществуващите възможности за предоставяне на държавно финансиране за туристически дейности, без да е необходимо уведомление по член 108, параграф 2 ОТ </w:t>
      </w:r>
      <w:r w:rsidR="0038397F" w:rsidRPr="006C02F0">
        <w:rPr>
          <w:rFonts w:ascii="Times New Roman" w:hAnsi="Times New Roman" w:cs="Times New Roman"/>
          <w:b/>
          <w:color w:val="auto"/>
          <w:lang w:val="bg-BG"/>
        </w:rPr>
        <w:t>Договора за функционирането на Европейския съюз</w:t>
      </w:r>
      <w:r w:rsidRPr="006C02F0">
        <w:rPr>
          <w:rFonts w:ascii="Times New Roman" w:hAnsi="Times New Roman" w:cs="Times New Roman"/>
          <w:b/>
          <w:color w:val="auto"/>
          <w:lang w:val="bg-BG"/>
        </w:rPr>
        <w:t>. Той не изразява официална позиция на Комисията, нито предопределя такава позиция. Настоящият документ няма за цел да бъде правно твърдение и не засяга тълкуването на разпоредбите на Договора относно държавните помощи от съдилищата на Съюза.</w:t>
      </w:r>
    </w:p>
    <w:p w:rsidR="00EC7D81" w:rsidRPr="006C02F0" w:rsidRDefault="00D8089D">
      <w:pPr>
        <w:pStyle w:val="Heading12"/>
        <w:keepNext/>
        <w:keepLines/>
        <w:spacing w:after="214"/>
        <w:ind w:left="380" w:hanging="380"/>
        <w:rPr>
          <w:rFonts w:ascii="Times New Roman" w:hAnsi="Times New Roman" w:cs="Times New Roman"/>
          <w:color w:val="auto"/>
          <w:lang w:val="bg-BG"/>
        </w:rPr>
      </w:pPr>
      <w:bookmarkStart w:id="1" w:name="bookmark1"/>
      <w:bookmarkEnd w:id="1"/>
      <w:r w:rsidRPr="006C02F0">
        <w:rPr>
          <w:rStyle w:val="Heading11"/>
          <w:rFonts w:ascii="Times New Roman" w:hAnsi="Times New Roman" w:cs="Times New Roman"/>
          <w:b/>
          <w:bCs/>
          <w:color w:val="auto"/>
          <w:lang w:val="bg-BG"/>
        </w:rPr>
        <w:t xml:space="preserve">I. </w:t>
      </w:r>
      <w:r w:rsidR="0038397F" w:rsidRPr="006C02F0">
        <w:rPr>
          <w:rStyle w:val="Heading11"/>
          <w:rFonts w:ascii="Times New Roman" w:hAnsi="Times New Roman" w:cs="Times New Roman"/>
          <w:b/>
          <w:bCs/>
          <w:color w:val="auto"/>
          <w:lang w:val="bg-BG"/>
        </w:rPr>
        <w:t>В</w:t>
      </w:r>
      <w:r w:rsidRPr="006C02F0">
        <w:rPr>
          <w:rStyle w:val="Heading11"/>
          <w:rFonts w:ascii="Times New Roman" w:hAnsi="Times New Roman" w:cs="Times New Roman"/>
          <w:b/>
          <w:bCs/>
          <w:color w:val="auto"/>
          <w:lang w:val="bg-BG"/>
        </w:rPr>
        <w:t>ъведение</w:t>
      </w:r>
    </w:p>
    <w:p w:rsidR="00EC7D81" w:rsidRPr="006C02F0" w:rsidRDefault="00D8089D">
      <w:pPr>
        <w:pStyle w:val="Bodytext21"/>
        <w:numPr>
          <w:ilvl w:val="0"/>
          <w:numId w:val="1"/>
        </w:numPr>
        <w:tabs>
          <w:tab w:val="left" w:pos="357"/>
        </w:tabs>
        <w:spacing w:before="0"/>
        <w:ind w:left="380" w:hanging="380"/>
        <w:rPr>
          <w:rFonts w:ascii="Times New Roman" w:hAnsi="Times New Roman" w:cs="Times New Roman"/>
          <w:color w:val="auto"/>
          <w:lang w:val="bg-BG"/>
        </w:rPr>
      </w:pPr>
      <w:r w:rsidRPr="006C02F0">
        <w:rPr>
          <w:rFonts w:ascii="Times New Roman" w:hAnsi="Times New Roman" w:cs="Times New Roman"/>
          <w:color w:val="auto"/>
          <w:lang w:val="bg-BG"/>
        </w:rPr>
        <w:t>Настоящият документ се отнася за помощта за изграждането и експлоатацията на инфраструктурите</w:t>
      </w:r>
      <w:r w:rsidR="0038397F" w:rsidRPr="006C02F0">
        <w:rPr>
          <w:rFonts w:ascii="Times New Roman" w:hAnsi="Times New Roman" w:cs="Times New Roman"/>
          <w:color w:val="auto"/>
          <w:lang w:val="bg-BG"/>
        </w:rPr>
        <w:t xml:space="preserve"> от</w:t>
      </w:r>
      <w:r w:rsidRPr="006C02F0">
        <w:rPr>
          <w:rFonts w:ascii="Times New Roman" w:hAnsi="Times New Roman" w:cs="Times New Roman"/>
          <w:color w:val="auto"/>
          <w:lang w:val="bg-BG"/>
        </w:rPr>
        <w:t xml:space="preserve"> туристически интерес (като например информационни центрове и места за настаняване), както и за дейности, които са свързани с туристическия сектор (подобно на производството и дистрибуцията на туристически материали и за маркетинг на дестинация).</w:t>
      </w:r>
    </w:p>
    <w:p w:rsidR="00EC7D81" w:rsidRPr="006C02F0" w:rsidRDefault="00D8089D">
      <w:pPr>
        <w:pStyle w:val="Bodytext21"/>
        <w:numPr>
          <w:ilvl w:val="0"/>
          <w:numId w:val="1"/>
        </w:numPr>
        <w:tabs>
          <w:tab w:val="left" w:pos="357"/>
        </w:tabs>
        <w:spacing w:before="0" w:after="347"/>
        <w:ind w:left="380" w:hanging="380"/>
        <w:rPr>
          <w:rFonts w:ascii="Times New Roman" w:hAnsi="Times New Roman" w:cs="Times New Roman"/>
          <w:color w:val="auto"/>
          <w:lang w:val="bg-BG"/>
        </w:rPr>
      </w:pPr>
      <w:r w:rsidRPr="006C02F0">
        <w:rPr>
          <w:rFonts w:ascii="Times New Roman" w:hAnsi="Times New Roman" w:cs="Times New Roman"/>
          <w:color w:val="auto"/>
          <w:lang w:val="bg-BG"/>
        </w:rPr>
        <w:t>Този документ</w:t>
      </w:r>
      <w:r w:rsidR="0038397F" w:rsidRPr="006C02F0">
        <w:rPr>
          <w:rFonts w:ascii="Times New Roman" w:hAnsi="Times New Roman" w:cs="Times New Roman"/>
          <w:color w:val="auto"/>
          <w:lang w:val="bg-BG"/>
        </w:rPr>
        <w:t xml:space="preserve"> на първо място</w:t>
      </w:r>
      <w:r w:rsidRPr="006C02F0">
        <w:rPr>
          <w:rFonts w:ascii="Times New Roman" w:hAnsi="Times New Roman" w:cs="Times New Roman"/>
          <w:color w:val="auto"/>
          <w:lang w:val="bg-BG"/>
        </w:rPr>
        <w:t xml:space="preserve"> </w:t>
      </w:r>
      <w:r w:rsidR="0038397F" w:rsidRPr="006C02F0">
        <w:rPr>
          <w:rFonts w:ascii="Times New Roman" w:hAnsi="Times New Roman" w:cs="Times New Roman"/>
          <w:color w:val="auto"/>
          <w:lang w:val="bg-BG"/>
        </w:rPr>
        <w:t xml:space="preserve"> пояснява</w:t>
      </w:r>
      <w:r w:rsidRPr="006C02F0">
        <w:rPr>
          <w:rFonts w:ascii="Times New Roman" w:hAnsi="Times New Roman" w:cs="Times New Roman"/>
          <w:color w:val="auto"/>
          <w:lang w:val="bg-BG"/>
        </w:rPr>
        <w:t xml:space="preserve"> в кои случаи наличието на държавна помощ се изключва</w:t>
      </w:r>
      <w:r w:rsidR="008452C2" w:rsidRPr="006C02F0">
        <w:rPr>
          <w:rFonts w:ascii="Times New Roman" w:hAnsi="Times New Roman" w:cs="Times New Roman"/>
          <w:color w:val="auto"/>
          <w:lang w:val="bg-BG"/>
        </w:rPr>
        <w:t xml:space="preserve"> (раздел II по-долу). След това, </w:t>
      </w:r>
      <w:r w:rsidRPr="006C02F0">
        <w:rPr>
          <w:rFonts w:ascii="Times New Roman" w:hAnsi="Times New Roman" w:cs="Times New Roman"/>
          <w:color w:val="auto"/>
          <w:lang w:val="bg-BG"/>
        </w:rPr>
        <w:t>той обобщава ситуации, в които е налице държавна помощ, но не се изисква Комисията да бъде уведомена, ако са спазени определени условия (вж. раздел III по-долу).</w:t>
      </w:r>
    </w:p>
    <w:p w:rsidR="00EC7D81" w:rsidRPr="006C02F0" w:rsidRDefault="00D8089D">
      <w:pPr>
        <w:pStyle w:val="Heading12"/>
        <w:keepNext/>
        <w:keepLines/>
        <w:ind w:left="380" w:hanging="380"/>
        <w:rPr>
          <w:rFonts w:ascii="Times New Roman" w:hAnsi="Times New Roman" w:cs="Times New Roman"/>
          <w:color w:val="auto"/>
          <w:lang w:val="bg-BG"/>
        </w:rPr>
      </w:pPr>
      <w:bookmarkStart w:id="2" w:name="bookmark2"/>
      <w:bookmarkEnd w:id="2"/>
      <w:r w:rsidRPr="006C02F0">
        <w:rPr>
          <w:rStyle w:val="Heading11"/>
          <w:rFonts w:ascii="Times New Roman" w:hAnsi="Times New Roman" w:cs="Times New Roman"/>
          <w:b/>
          <w:bCs/>
          <w:color w:val="auto"/>
          <w:lang w:val="bg-BG"/>
        </w:rPr>
        <w:t>II. Случаи, в които съществуването на държавни помощи е изключено</w:t>
      </w:r>
    </w:p>
    <w:p w:rsidR="00EC7D81" w:rsidRPr="006C02F0" w:rsidRDefault="00D8089D">
      <w:pPr>
        <w:pStyle w:val="Bodytext21"/>
        <w:numPr>
          <w:ilvl w:val="0"/>
          <w:numId w:val="1"/>
        </w:numPr>
        <w:tabs>
          <w:tab w:val="left" w:pos="357"/>
        </w:tabs>
        <w:spacing w:before="0"/>
        <w:ind w:left="380" w:hanging="380"/>
        <w:rPr>
          <w:rFonts w:ascii="Times New Roman" w:hAnsi="Times New Roman" w:cs="Times New Roman"/>
          <w:color w:val="auto"/>
          <w:lang w:val="bg-BG"/>
        </w:rPr>
      </w:pPr>
      <w:r w:rsidRPr="006C02F0">
        <w:rPr>
          <w:rFonts w:ascii="Times New Roman" w:hAnsi="Times New Roman" w:cs="Times New Roman"/>
          <w:color w:val="auto"/>
          <w:lang w:val="bg-BG"/>
        </w:rPr>
        <w:t>В областта на туризма, някои мерки, предприети от държавите членки, може да не представляват държавна помощ, тъй като не отговарят на всички критерии по член 107, параграф 1 ДФЕС, по-специално</w:t>
      </w:r>
      <w:r w:rsidR="008452C2" w:rsidRPr="006C02F0">
        <w:rPr>
          <w:rFonts w:ascii="Times New Roman" w:hAnsi="Times New Roman" w:cs="Times New Roman"/>
          <w:color w:val="auto"/>
          <w:lang w:val="bg-BG"/>
        </w:rPr>
        <w:t>,</w:t>
      </w:r>
      <w:r w:rsidRPr="006C02F0">
        <w:rPr>
          <w:rFonts w:ascii="Times New Roman" w:hAnsi="Times New Roman" w:cs="Times New Roman"/>
          <w:color w:val="auto"/>
          <w:lang w:val="bg-BG"/>
        </w:rPr>
        <w:t xml:space="preserve"> тъй като не става въпрос за стопанска дейност или защото няма никак</w:t>
      </w:r>
      <w:r w:rsidR="008452C2" w:rsidRPr="006C02F0">
        <w:rPr>
          <w:rFonts w:ascii="Times New Roman" w:hAnsi="Times New Roman" w:cs="Times New Roman"/>
          <w:color w:val="auto"/>
          <w:lang w:val="bg-BG"/>
        </w:rPr>
        <w:t>ъв</w:t>
      </w:r>
      <w:r w:rsidRPr="006C02F0">
        <w:rPr>
          <w:rFonts w:ascii="Times New Roman" w:hAnsi="Times New Roman" w:cs="Times New Roman"/>
          <w:color w:val="auto"/>
          <w:lang w:val="bg-BG"/>
        </w:rPr>
        <w:t xml:space="preserve"> </w:t>
      </w:r>
      <w:r w:rsidR="008452C2" w:rsidRPr="006C02F0">
        <w:rPr>
          <w:rFonts w:ascii="Times New Roman" w:hAnsi="Times New Roman" w:cs="Times New Roman"/>
          <w:color w:val="auto"/>
          <w:lang w:val="bg-BG"/>
        </w:rPr>
        <w:t>ефект</w:t>
      </w:r>
      <w:r w:rsidRPr="006C02F0">
        <w:rPr>
          <w:rFonts w:ascii="Times New Roman" w:hAnsi="Times New Roman" w:cs="Times New Roman"/>
          <w:color w:val="auto"/>
          <w:lang w:val="bg-BG"/>
        </w:rPr>
        <w:t xml:space="preserve"> за търговията между държавите членки.</w:t>
      </w:r>
    </w:p>
    <w:p w:rsidR="00EC7D81" w:rsidRPr="006C02F0" w:rsidRDefault="00EC7D81">
      <w:pPr>
        <w:pStyle w:val="Bodytext21"/>
        <w:tabs>
          <w:tab w:val="left" w:pos="357"/>
        </w:tabs>
        <w:spacing w:before="0"/>
        <w:ind w:left="380" w:firstLine="0"/>
        <w:rPr>
          <w:rFonts w:ascii="Times New Roman" w:hAnsi="Times New Roman" w:cs="Times New Roman"/>
          <w:color w:val="auto"/>
          <w:lang w:val="bg-BG"/>
        </w:rPr>
      </w:pPr>
    </w:p>
    <w:p w:rsidR="00EC7D81" w:rsidRPr="006C02F0" w:rsidRDefault="00D8089D">
      <w:pPr>
        <w:pStyle w:val="Heading12"/>
        <w:keepNext/>
        <w:keepLines/>
        <w:spacing w:after="154"/>
        <w:ind w:left="400"/>
        <w:rPr>
          <w:rFonts w:ascii="Times New Roman" w:hAnsi="Times New Roman" w:cs="Times New Roman"/>
          <w:color w:val="auto"/>
          <w:lang w:val="bg-BG"/>
        </w:rPr>
      </w:pPr>
      <w:bookmarkStart w:id="3" w:name="bookmark3"/>
      <w:bookmarkEnd w:id="3"/>
      <w:r w:rsidRPr="006C02F0">
        <w:rPr>
          <w:rFonts w:ascii="Times New Roman" w:hAnsi="Times New Roman" w:cs="Times New Roman"/>
          <w:color w:val="auto"/>
          <w:lang w:val="bg-BG"/>
        </w:rPr>
        <w:t>1. Липса на икономическа дейност</w:t>
      </w:r>
    </w:p>
    <w:p w:rsidR="00EC7D81" w:rsidRPr="006C02F0" w:rsidRDefault="00D8089D">
      <w:pPr>
        <w:pStyle w:val="Bodytext21"/>
        <w:numPr>
          <w:ilvl w:val="0"/>
          <w:numId w:val="1"/>
        </w:numPr>
        <w:tabs>
          <w:tab w:val="left" w:pos="357"/>
        </w:tabs>
        <w:spacing w:before="0"/>
        <w:ind w:left="380" w:hanging="380"/>
        <w:rPr>
          <w:rFonts w:ascii="Times New Roman" w:hAnsi="Times New Roman" w:cs="Times New Roman"/>
          <w:color w:val="auto"/>
          <w:lang w:val="bg-BG"/>
        </w:rPr>
      </w:pPr>
      <w:r w:rsidRPr="006C02F0">
        <w:rPr>
          <w:rFonts w:ascii="Times New Roman" w:hAnsi="Times New Roman" w:cs="Times New Roman"/>
          <w:color w:val="auto"/>
          <w:lang w:val="bg-BG"/>
        </w:rPr>
        <w:t>В съответствие с установената съдебна практика на съдилищата на Съюза, всяка дейност, която се състои от предлагането на стоки и услуги на даден пазар, представлява икономическа дейност.</w:t>
      </w:r>
    </w:p>
    <w:p w:rsidR="00EC7D81" w:rsidRPr="006C02F0" w:rsidRDefault="00D8089D">
      <w:pPr>
        <w:pStyle w:val="Bodytext21"/>
        <w:numPr>
          <w:ilvl w:val="0"/>
          <w:numId w:val="1"/>
        </w:numPr>
        <w:tabs>
          <w:tab w:val="left" w:pos="357"/>
        </w:tabs>
        <w:spacing w:before="0"/>
        <w:ind w:left="380" w:hanging="380"/>
        <w:rPr>
          <w:rFonts w:ascii="Times New Roman" w:hAnsi="Times New Roman" w:cs="Times New Roman"/>
          <w:color w:val="auto"/>
          <w:lang w:val="bg-BG"/>
        </w:rPr>
      </w:pPr>
      <w:r w:rsidRPr="006C02F0">
        <w:rPr>
          <w:rFonts w:ascii="Times New Roman" w:hAnsi="Times New Roman" w:cs="Times New Roman"/>
          <w:color w:val="auto"/>
          <w:lang w:val="bg-BG"/>
        </w:rPr>
        <w:t>Ако дейностите не се извършват срещу възнаграждение, тази дейност не представлява стопанска дейност. Поради това</w:t>
      </w:r>
      <w:r w:rsidR="008452C2" w:rsidRPr="006C02F0">
        <w:rPr>
          <w:rFonts w:ascii="Times New Roman" w:hAnsi="Times New Roman" w:cs="Times New Roman"/>
          <w:color w:val="auto"/>
          <w:lang w:val="bg-BG"/>
        </w:rPr>
        <w:t>,</w:t>
      </w:r>
      <w:r w:rsidRPr="006C02F0">
        <w:rPr>
          <w:rFonts w:ascii="Times New Roman" w:hAnsi="Times New Roman" w:cs="Times New Roman"/>
          <w:color w:val="auto"/>
          <w:lang w:val="bg-BG"/>
        </w:rPr>
        <w:t xml:space="preserve"> не става въпрос за държавн</w:t>
      </w:r>
      <w:r w:rsidR="008452C2" w:rsidRPr="006C02F0">
        <w:rPr>
          <w:rFonts w:ascii="Times New Roman" w:hAnsi="Times New Roman" w:cs="Times New Roman"/>
          <w:color w:val="auto"/>
          <w:lang w:val="bg-BG"/>
        </w:rPr>
        <w:t>а помощ</w:t>
      </w:r>
      <w:r w:rsidRPr="006C02F0">
        <w:rPr>
          <w:rFonts w:ascii="Times New Roman" w:hAnsi="Times New Roman" w:cs="Times New Roman"/>
          <w:color w:val="auto"/>
          <w:lang w:val="bg-BG"/>
        </w:rPr>
        <w:t xml:space="preserve">. Дейности, посредством които държавата изпълнява </w:t>
      </w:r>
      <w:r w:rsidR="008452C2" w:rsidRPr="006C02F0">
        <w:rPr>
          <w:rFonts w:ascii="Times New Roman" w:hAnsi="Times New Roman" w:cs="Times New Roman"/>
          <w:color w:val="auto"/>
          <w:lang w:val="bg-BG"/>
        </w:rPr>
        <w:t>същинска</w:t>
      </w:r>
      <w:r w:rsidRPr="006C02F0">
        <w:rPr>
          <w:rFonts w:ascii="Times New Roman" w:hAnsi="Times New Roman" w:cs="Times New Roman"/>
          <w:color w:val="auto"/>
          <w:lang w:val="bg-BG"/>
        </w:rPr>
        <w:t xml:space="preserve"> </w:t>
      </w:r>
      <w:r w:rsidR="008452C2" w:rsidRPr="006C02F0">
        <w:rPr>
          <w:rFonts w:ascii="Times New Roman" w:hAnsi="Times New Roman" w:cs="Times New Roman"/>
          <w:color w:val="auto"/>
          <w:lang w:val="bg-BG"/>
        </w:rPr>
        <w:t>публична</w:t>
      </w:r>
      <w:r w:rsidRPr="006C02F0">
        <w:rPr>
          <w:rFonts w:ascii="Times New Roman" w:hAnsi="Times New Roman" w:cs="Times New Roman"/>
          <w:color w:val="auto"/>
          <w:lang w:val="bg-BG"/>
        </w:rPr>
        <w:t xml:space="preserve"> задача и отговорност, не са от стопанско естество и по принцип не попадат в обхвата на правилата за държавните помощи.</w:t>
      </w:r>
    </w:p>
    <w:p w:rsidR="00EC7D81" w:rsidRPr="006C02F0" w:rsidRDefault="00D8089D">
      <w:pPr>
        <w:pStyle w:val="Bodytext21"/>
        <w:numPr>
          <w:ilvl w:val="0"/>
          <w:numId w:val="1"/>
        </w:numPr>
        <w:tabs>
          <w:tab w:val="left" w:pos="357"/>
        </w:tabs>
        <w:spacing w:before="0" w:after="287"/>
        <w:ind w:left="400"/>
        <w:rPr>
          <w:rFonts w:ascii="Times New Roman" w:hAnsi="Times New Roman" w:cs="Times New Roman"/>
          <w:color w:val="auto"/>
          <w:lang w:val="bg-BG"/>
        </w:rPr>
      </w:pPr>
      <w:r w:rsidRPr="006C02F0">
        <w:rPr>
          <w:rFonts w:ascii="Times New Roman" w:hAnsi="Times New Roman" w:cs="Times New Roman"/>
          <w:color w:val="auto"/>
          <w:lang w:val="bg-BG"/>
        </w:rPr>
        <w:t>Следователно, по-специално за финансирането на следните туристически съоръжения</w:t>
      </w:r>
      <w:r w:rsidR="009A7BB7" w:rsidRPr="006C02F0">
        <w:rPr>
          <w:rFonts w:ascii="Times New Roman" w:hAnsi="Times New Roman" w:cs="Times New Roman"/>
          <w:color w:val="auto"/>
          <w:lang w:val="bg-BG"/>
        </w:rPr>
        <w:t xml:space="preserve">, които не генерират приходи, изградени в интерес на </w:t>
      </w:r>
      <w:r w:rsidRPr="006C02F0">
        <w:rPr>
          <w:rFonts w:ascii="Times New Roman" w:hAnsi="Times New Roman" w:cs="Times New Roman"/>
          <w:color w:val="auto"/>
          <w:lang w:val="bg-BG"/>
        </w:rPr>
        <w:t xml:space="preserve"> широката общественост и </w:t>
      </w:r>
      <w:r w:rsidR="008C5A01" w:rsidRPr="006C02F0">
        <w:rPr>
          <w:rFonts w:ascii="Times New Roman" w:hAnsi="Times New Roman" w:cs="Times New Roman"/>
          <w:color w:val="auto"/>
          <w:lang w:val="bg-BG"/>
        </w:rPr>
        <w:t xml:space="preserve">със </w:t>
      </w:r>
      <w:r w:rsidRPr="006C02F0">
        <w:rPr>
          <w:rFonts w:ascii="Times New Roman" w:hAnsi="Times New Roman" w:cs="Times New Roman"/>
          <w:color w:val="auto"/>
          <w:lang w:val="bg-BG"/>
        </w:rPr>
        <w:t>свободен и равнопоставен достъп, ще попадн</w:t>
      </w:r>
      <w:r w:rsidR="008C5A01" w:rsidRPr="006C02F0">
        <w:rPr>
          <w:rFonts w:ascii="Times New Roman" w:hAnsi="Times New Roman" w:cs="Times New Roman"/>
          <w:color w:val="auto"/>
          <w:lang w:val="bg-BG"/>
        </w:rPr>
        <w:t>е</w:t>
      </w:r>
      <w:r w:rsidRPr="006C02F0">
        <w:rPr>
          <w:rFonts w:ascii="Times New Roman" w:hAnsi="Times New Roman" w:cs="Times New Roman"/>
          <w:color w:val="auto"/>
          <w:lang w:val="bg-BG"/>
        </w:rPr>
        <w:t xml:space="preserve"> извън приложното поле на член 107, параграф 1 ДФЕС: информационни центрове и други подобни съоръжения, пешеходни пътеки, велосипедните</w:t>
      </w:r>
      <w:r w:rsidR="008C5A01" w:rsidRPr="006C02F0">
        <w:rPr>
          <w:rFonts w:ascii="Times New Roman" w:hAnsi="Times New Roman" w:cs="Times New Roman"/>
          <w:color w:val="auto"/>
          <w:lang w:val="bg-BG"/>
        </w:rPr>
        <w:t xml:space="preserve"> и ездови </w:t>
      </w:r>
      <w:r w:rsidRPr="006C02F0">
        <w:rPr>
          <w:rFonts w:ascii="Times New Roman" w:hAnsi="Times New Roman" w:cs="Times New Roman"/>
          <w:color w:val="auto"/>
          <w:lang w:val="bg-BG"/>
        </w:rPr>
        <w:t>алеи и маршрути, учеб</w:t>
      </w:r>
      <w:r w:rsidR="008C5A01" w:rsidRPr="006C02F0">
        <w:rPr>
          <w:rFonts w:ascii="Times New Roman" w:hAnsi="Times New Roman" w:cs="Times New Roman"/>
          <w:color w:val="auto"/>
          <w:lang w:val="bg-BG"/>
        </w:rPr>
        <w:t>ни полигони (полета)</w:t>
      </w:r>
      <w:r w:rsidR="002B3DDC" w:rsidRPr="006C02F0">
        <w:rPr>
          <w:rFonts w:ascii="Times New Roman" w:hAnsi="Times New Roman" w:cs="Times New Roman"/>
          <w:color w:val="auto"/>
          <w:lang w:val="bg-BG"/>
        </w:rPr>
        <w:t xml:space="preserve"> и природни пътеки</w:t>
      </w:r>
      <w:r w:rsidRPr="006C02F0">
        <w:rPr>
          <w:rFonts w:ascii="Times New Roman" w:hAnsi="Times New Roman" w:cs="Times New Roman"/>
          <w:color w:val="auto"/>
          <w:lang w:val="bg-BG"/>
        </w:rPr>
        <w:t xml:space="preserve">, включително сигнализация, оборудване, </w:t>
      </w:r>
      <w:r w:rsidR="002B3DDC" w:rsidRPr="006C02F0">
        <w:rPr>
          <w:rFonts w:ascii="Times New Roman" w:hAnsi="Times New Roman" w:cs="Times New Roman"/>
          <w:color w:val="auto"/>
          <w:lang w:val="bg-BG"/>
        </w:rPr>
        <w:t>заслони/</w:t>
      </w:r>
      <w:r w:rsidRPr="006C02F0">
        <w:rPr>
          <w:rFonts w:ascii="Times New Roman" w:hAnsi="Times New Roman" w:cs="Times New Roman"/>
          <w:color w:val="auto"/>
          <w:lang w:val="bg-BG"/>
        </w:rPr>
        <w:t>подслон</w:t>
      </w:r>
      <w:r w:rsidR="002B3DDC" w:rsidRPr="006C02F0">
        <w:rPr>
          <w:rFonts w:ascii="Times New Roman" w:hAnsi="Times New Roman" w:cs="Times New Roman"/>
          <w:color w:val="auto"/>
          <w:lang w:val="bg-BG"/>
        </w:rPr>
        <w:t>и</w:t>
      </w:r>
      <w:r w:rsidRPr="006C02F0">
        <w:rPr>
          <w:rFonts w:ascii="Times New Roman" w:hAnsi="Times New Roman" w:cs="Times New Roman"/>
          <w:color w:val="auto"/>
          <w:lang w:val="bg-BG"/>
        </w:rPr>
        <w:t xml:space="preserve"> и наблюдателни постове, паркинги, зони за пикник</w:t>
      </w:r>
      <w:r w:rsidR="002B3DDC" w:rsidRPr="006C02F0">
        <w:rPr>
          <w:rFonts w:ascii="Times New Roman" w:hAnsi="Times New Roman" w:cs="Times New Roman"/>
          <w:color w:val="auto"/>
          <w:lang w:val="bg-BG"/>
        </w:rPr>
        <w:t>, които</w:t>
      </w:r>
      <w:r w:rsidRPr="006C02F0">
        <w:rPr>
          <w:rFonts w:ascii="Times New Roman" w:hAnsi="Times New Roman" w:cs="Times New Roman"/>
          <w:color w:val="auto"/>
          <w:lang w:val="bg-BG"/>
        </w:rPr>
        <w:t xml:space="preserve"> се използват безплатно, обществените тоалетни, алеи, </w:t>
      </w:r>
      <w:r w:rsidR="002B3DDC" w:rsidRPr="006C02F0">
        <w:rPr>
          <w:rFonts w:ascii="Times New Roman" w:hAnsi="Times New Roman" w:cs="Times New Roman"/>
          <w:color w:val="auto"/>
          <w:lang w:val="bg-BG"/>
        </w:rPr>
        <w:t>кейове, ски пътеки</w:t>
      </w:r>
      <w:r w:rsidRPr="006C02F0">
        <w:rPr>
          <w:rFonts w:ascii="Times New Roman" w:hAnsi="Times New Roman" w:cs="Times New Roman"/>
          <w:color w:val="auto"/>
          <w:lang w:val="bg-BG"/>
        </w:rPr>
        <w:t>, спа градини, лодк</w:t>
      </w:r>
      <w:r w:rsidR="002B3DDC" w:rsidRPr="006C02F0">
        <w:rPr>
          <w:rFonts w:ascii="Times New Roman" w:hAnsi="Times New Roman" w:cs="Times New Roman"/>
          <w:color w:val="auto"/>
          <w:lang w:val="bg-BG"/>
        </w:rPr>
        <w:t>арски кейове</w:t>
      </w:r>
      <w:r w:rsidRPr="006C02F0">
        <w:rPr>
          <w:rFonts w:ascii="Times New Roman" w:hAnsi="Times New Roman" w:cs="Times New Roman"/>
          <w:color w:val="auto"/>
          <w:lang w:val="bg-BG"/>
        </w:rPr>
        <w:t>, плаващи кейове, зони за къпане в естествените водни кули</w:t>
      </w:r>
      <w:r w:rsidR="002B3DDC" w:rsidRPr="006C02F0">
        <w:rPr>
          <w:rFonts w:ascii="Times New Roman" w:hAnsi="Times New Roman" w:cs="Times New Roman"/>
          <w:color w:val="auto"/>
          <w:lang w:val="bg-BG"/>
        </w:rPr>
        <w:t>, открити</w:t>
      </w:r>
      <w:r w:rsidRPr="006C02F0">
        <w:rPr>
          <w:rFonts w:ascii="Times New Roman" w:hAnsi="Times New Roman" w:cs="Times New Roman"/>
          <w:color w:val="auto"/>
          <w:lang w:val="bg-BG"/>
        </w:rPr>
        <w:t xml:space="preserve"> театри, </w:t>
      </w:r>
      <w:r w:rsidR="002B3DDC" w:rsidRPr="006C02F0">
        <w:rPr>
          <w:rFonts w:ascii="Times New Roman" w:hAnsi="Times New Roman" w:cs="Times New Roman"/>
          <w:color w:val="auto"/>
          <w:lang w:val="bg-BG"/>
        </w:rPr>
        <w:t>солнични кули и воднозащитни съоръжения, които</w:t>
      </w:r>
      <w:r w:rsidRPr="006C02F0">
        <w:rPr>
          <w:rFonts w:ascii="Times New Roman" w:hAnsi="Times New Roman" w:cs="Times New Roman"/>
          <w:color w:val="auto"/>
          <w:lang w:val="bg-BG"/>
        </w:rPr>
        <w:t xml:space="preserve"> не се експлоатират за търговски цели.</w:t>
      </w:r>
    </w:p>
    <w:p w:rsidR="00EC7D81" w:rsidRPr="006C02F0" w:rsidRDefault="00D8089D">
      <w:pPr>
        <w:pStyle w:val="Bodytext21"/>
        <w:numPr>
          <w:ilvl w:val="0"/>
          <w:numId w:val="1"/>
        </w:numPr>
        <w:tabs>
          <w:tab w:val="left" w:pos="357"/>
        </w:tabs>
        <w:spacing w:before="0" w:after="287"/>
        <w:ind w:left="400"/>
        <w:rPr>
          <w:rFonts w:ascii="Times New Roman" w:hAnsi="Times New Roman" w:cs="Times New Roman"/>
          <w:color w:val="auto"/>
          <w:lang w:val="bg-BG"/>
        </w:rPr>
      </w:pPr>
      <w:r w:rsidRPr="006C02F0">
        <w:rPr>
          <w:rFonts w:ascii="Times New Roman" w:hAnsi="Times New Roman" w:cs="Times New Roman"/>
          <w:color w:val="auto"/>
          <w:lang w:val="bg-BG"/>
        </w:rPr>
        <w:t>В случаите, когато даден</w:t>
      </w:r>
      <w:r w:rsidR="002D4787" w:rsidRPr="006C02F0">
        <w:rPr>
          <w:rFonts w:ascii="Times New Roman" w:hAnsi="Times New Roman" w:cs="Times New Roman"/>
          <w:color w:val="auto"/>
          <w:lang w:val="bg-BG"/>
        </w:rPr>
        <w:t>а</w:t>
      </w:r>
      <w:r w:rsidRPr="006C02F0">
        <w:rPr>
          <w:rFonts w:ascii="Times New Roman" w:hAnsi="Times New Roman" w:cs="Times New Roman"/>
          <w:color w:val="auto"/>
          <w:lang w:val="bg-BG"/>
        </w:rPr>
        <w:t xml:space="preserve"> подпомаган</w:t>
      </w:r>
      <w:r w:rsidR="002D4787" w:rsidRPr="006C02F0">
        <w:rPr>
          <w:rFonts w:ascii="Times New Roman" w:hAnsi="Times New Roman" w:cs="Times New Roman"/>
          <w:color w:val="auto"/>
          <w:lang w:val="bg-BG"/>
        </w:rPr>
        <w:t>а</w:t>
      </w:r>
      <w:r w:rsidRPr="006C02F0">
        <w:rPr>
          <w:rFonts w:ascii="Times New Roman" w:hAnsi="Times New Roman" w:cs="Times New Roman"/>
          <w:color w:val="auto"/>
          <w:lang w:val="bg-BG"/>
        </w:rPr>
        <w:t xml:space="preserve"> туристическа инфраструктура се използва почти изключително за нестопанска дейност, принципът на </w:t>
      </w:r>
      <w:r w:rsidR="002D4787" w:rsidRPr="006C02F0">
        <w:rPr>
          <w:rFonts w:ascii="Times New Roman" w:hAnsi="Times New Roman" w:cs="Times New Roman"/>
          <w:color w:val="auto"/>
          <w:lang w:val="bg-BG"/>
        </w:rPr>
        <w:t>„спомагателност</w:t>
      </w:r>
      <w:r w:rsidR="00664071" w:rsidRPr="006C02F0">
        <w:rPr>
          <w:rFonts w:ascii="Times New Roman" w:hAnsi="Times New Roman" w:cs="Times New Roman"/>
          <w:color w:val="auto"/>
          <w:lang w:val="bg-BG"/>
        </w:rPr>
        <w:t>та</w:t>
      </w:r>
      <w:r w:rsidR="002D4787" w:rsidRPr="006C02F0">
        <w:rPr>
          <w:rFonts w:ascii="Times New Roman" w:hAnsi="Times New Roman" w:cs="Times New Roman"/>
          <w:color w:val="auto"/>
          <w:lang w:val="bg-BG"/>
        </w:rPr>
        <w:t>“</w:t>
      </w:r>
      <w:r w:rsidRPr="006C02F0">
        <w:rPr>
          <w:rFonts w:ascii="Times New Roman" w:hAnsi="Times New Roman" w:cs="Times New Roman"/>
          <w:color w:val="auto"/>
          <w:lang w:val="bg-BG"/>
        </w:rPr>
        <w:t xml:space="preserve"> мо</w:t>
      </w:r>
      <w:r w:rsidR="002D4787" w:rsidRPr="006C02F0">
        <w:rPr>
          <w:rFonts w:ascii="Times New Roman" w:hAnsi="Times New Roman" w:cs="Times New Roman"/>
          <w:color w:val="auto"/>
          <w:lang w:val="bg-BG"/>
        </w:rPr>
        <w:t xml:space="preserve">же </w:t>
      </w:r>
      <w:r w:rsidRPr="006C02F0">
        <w:rPr>
          <w:rFonts w:ascii="Times New Roman" w:hAnsi="Times New Roman" w:cs="Times New Roman"/>
          <w:color w:val="auto"/>
          <w:lang w:val="bg-BG"/>
        </w:rPr>
        <w:t xml:space="preserve">да се прилага. Ако всички условия за чисто </w:t>
      </w:r>
      <w:r w:rsidR="00664071" w:rsidRPr="006C02F0">
        <w:rPr>
          <w:rFonts w:ascii="Times New Roman" w:hAnsi="Times New Roman" w:cs="Times New Roman"/>
          <w:color w:val="auto"/>
          <w:lang w:val="bg-BG"/>
        </w:rPr>
        <w:lastRenderedPageBreak/>
        <w:t>спомагателната</w:t>
      </w:r>
      <w:r w:rsidRPr="006C02F0">
        <w:rPr>
          <w:rFonts w:ascii="Times New Roman" w:hAnsi="Times New Roman" w:cs="Times New Roman"/>
          <w:color w:val="auto"/>
          <w:lang w:val="bg-BG"/>
        </w:rPr>
        <w:t xml:space="preserve"> стопанска употреба са изпълнени (вж. точка 207 от Известието относно понятието за помощ), финансирането на </w:t>
      </w:r>
      <w:r w:rsidR="00664071" w:rsidRPr="006C02F0">
        <w:rPr>
          <w:rFonts w:ascii="Times New Roman" w:hAnsi="Times New Roman" w:cs="Times New Roman"/>
          <w:color w:val="auto"/>
          <w:lang w:val="bg-BG"/>
        </w:rPr>
        <w:t xml:space="preserve">цялата </w:t>
      </w:r>
      <w:r w:rsidRPr="006C02F0">
        <w:rPr>
          <w:rFonts w:ascii="Times New Roman" w:hAnsi="Times New Roman" w:cs="Times New Roman"/>
          <w:color w:val="auto"/>
          <w:lang w:val="bg-BG"/>
        </w:rPr>
        <w:t>инфраструктура попада извън обхвата на правилата за държавна помощ. Освен това публичното финансиране за обичайни съоръжения (като ресторанти, магазини, които продават туристически литература или сувенири или платено паркиране) на инфраструктури, използва</w:t>
      </w:r>
      <w:r w:rsidR="00664071" w:rsidRPr="006C02F0">
        <w:rPr>
          <w:rFonts w:ascii="Times New Roman" w:hAnsi="Times New Roman" w:cs="Times New Roman"/>
          <w:color w:val="auto"/>
          <w:lang w:val="bg-BG"/>
        </w:rPr>
        <w:t>ни</w:t>
      </w:r>
      <w:r w:rsidRPr="006C02F0">
        <w:rPr>
          <w:rFonts w:ascii="Times New Roman" w:hAnsi="Times New Roman" w:cs="Times New Roman"/>
          <w:color w:val="auto"/>
          <w:lang w:val="bg-BG"/>
        </w:rPr>
        <w:t xml:space="preserve"> почти изключително за нестопанска дейност, обикновено не оказва влияние върху търговията между държавите членки и следователно попада извън обхвата на правилата за държавна помощ.</w:t>
      </w:r>
      <w:r w:rsidRPr="006C02F0">
        <w:rPr>
          <w:rStyle w:val="FootnoteAnchor"/>
          <w:rFonts w:ascii="Times New Roman" w:hAnsi="Times New Roman" w:cs="Times New Roman"/>
          <w:color w:val="auto"/>
          <w:lang w:val="bg-BG"/>
        </w:rPr>
        <w:footnoteReference w:id="1"/>
      </w:r>
    </w:p>
    <w:p w:rsidR="00EC7D81" w:rsidRPr="006C02F0" w:rsidRDefault="00D8089D">
      <w:pPr>
        <w:pStyle w:val="Bodytext21"/>
        <w:numPr>
          <w:ilvl w:val="0"/>
          <w:numId w:val="1"/>
        </w:numPr>
        <w:tabs>
          <w:tab w:val="left" w:pos="357"/>
        </w:tabs>
        <w:spacing w:before="0"/>
        <w:ind w:left="380" w:hanging="380"/>
        <w:rPr>
          <w:rFonts w:ascii="Times New Roman" w:hAnsi="Times New Roman" w:cs="Times New Roman"/>
          <w:b/>
          <w:color w:val="auto"/>
          <w:lang w:val="bg-BG"/>
        </w:rPr>
      </w:pPr>
      <w:r w:rsidRPr="006C02F0">
        <w:rPr>
          <w:rFonts w:ascii="Times New Roman" w:hAnsi="Times New Roman" w:cs="Times New Roman"/>
          <w:color w:val="auto"/>
          <w:lang w:val="bg-BG"/>
        </w:rPr>
        <w:t xml:space="preserve">По същите причини като посочените по-горе дейности, като например производството и дистрибуцията на туристически информационни материали като брошури, карти, влаковите и автобусни </w:t>
      </w:r>
      <w:r w:rsidR="00664071" w:rsidRPr="006C02F0">
        <w:rPr>
          <w:rFonts w:ascii="Times New Roman" w:hAnsi="Times New Roman" w:cs="Times New Roman"/>
          <w:color w:val="auto"/>
          <w:lang w:val="bg-BG"/>
        </w:rPr>
        <w:t>разписания</w:t>
      </w:r>
      <w:r w:rsidRPr="006C02F0">
        <w:rPr>
          <w:rFonts w:ascii="Times New Roman" w:hAnsi="Times New Roman" w:cs="Times New Roman"/>
          <w:color w:val="auto"/>
          <w:lang w:val="bg-BG"/>
        </w:rPr>
        <w:t>, или други подобни форми на разпространение на информация за културни и туристически дейности (включително чрез уебсайт или чрез свободни посещения или туристически обиколки), които могат да бъдат получени безплатно от всеки заинтересован посетител са с нестопански характер.</w:t>
      </w:r>
    </w:p>
    <w:p w:rsidR="00EC7D81" w:rsidRPr="006C02F0" w:rsidRDefault="00664071">
      <w:pPr>
        <w:pStyle w:val="Bodytext21"/>
        <w:numPr>
          <w:ilvl w:val="0"/>
          <w:numId w:val="1"/>
        </w:numPr>
        <w:tabs>
          <w:tab w:val="left" w:pos="357"/>
        </w:tabs>
        <w:spacing w:before="0"/>
        <w:ind w:left="380" w:hanging="380"/>
        <w:rPr>
          <w:rFonts w:ascii="Times New Roman" w:hAnsi="Times New Roman" w:cs="Times New Roman"/>
          <w:b/>
          <w:color w:val="auto"/>
          <w:lang w:val="bg-BG"/>
        </w:rPr>
      </w:pPr>
      <w:r w:rsidRPr="006C02F0">
        <w:rPr>
          <w:rFonts w:ascii="Times New Roman" w:hAnsi="Times New Roman" w:cs="Times New Roman"/>
          <w:b/>
          <w:color w:val="auto"/>
          <w:lang w:val="bg-BG"/>
        </w:rPr>
        <w:t>Общ</w:t>
      </w:r>
      <w:r w:rsidR="00D8089D" w:rsidRPr="006C02F0">
        <w:rPr>
          <w:rFonts w:ascii="Times New Roman" w:hAnsi="Times New Roman" w:cs="Times New Roman"/>
          <w:b/>
          <w:color w:val="auto"/>
          <w:lang w:val="bg-BG"/>
        </w:rPr>
        <w:t xml:space="preserve"> маркетинг на дестинаци</w:t>
      </w:r>
      <w:r w:rsidRPr="006C02F0">
        <w:rPr>
          <w:rFonts w:ascii="Times New Roman" w:hAnsi="Times New Roman" w:cs="Times New Roman"/>
          <w:b/>
          <w:color w:val="auto"/>
          <w:lang w:val="bg-BG"/>
        </w:rPr>
        <w:t>и</w:t>
      </w:r>
      <w:r w:rsidR="00D8089D" w:rsidRPr="006C02F0">
        <w:rPr>
          <w:rFonts w:ascii="Times New Roman" w:hAnsi="Times New Roman" w:cs="Times New Roman"/>
          <w:b/>
          <w:color w:val="auto"/>
          <w:lang w:val="bg-BG"/>
        </w:rPr>
        <w:t xml:space="preserve">, </w:t>
      </w:r>
      <w:r w:rsidR="00D8089D" w:rsidRPr="006C02F0">
        <w:rPr>
          <w:rFonts w:ascii="Times New Roman" w:hAnsi="Times New Roman" w:cs="Times New Roman"/>
          <w:color w:val="auto"/>
          <w:lang w:val="bg-BG"/>
        </w:rPr>
        <w:t xml:space="preserve">включващ обикновено кампания за популяризиране, организиране на безплатни информационни събития и създаването на общ информационен уебсайт, също представлява част от разпространението на информацията сред обществото и </w:t>
      </w:r>
      <w:r w:rsidRPr="006C02F0">
        <w:rPr>
          <w:rFonts w:ascii="Times New Roman" w:hAnsi="Times New Roman" w:cs="Times New Roman"/>
          <w:color w:val="auto"/>
          <w:lang w:val="bg-BG"/>
        </w:rPr>
        <w:t>промотирането</w:t>
      </w:r>
      <w:r w:rsidR="00D8089D" w:rsidRPr="006C02F0">
        <w:rPr>
          <w:rFonts w:ascii="Times New Roman" w:hAnsi="Times New Roman" w:cs="Times New Roman"/>
          <w:color w:val="auto"/>
          <w:lang w:val="bg-BG"/>
        </w:rPr>
        <w:t xml:space="preserve"> на даден регион или област</w:t>
      </w:r>
      <w:r w:rsidRPr="006C02F0">
        <w:rPr>
          <w:rFonts w:ascii="Times New Roman" w:hAnsi="Times New Roman" w:cs="Times New Roman"/>
          <w:color w:val="auto"/>
          <w:lang w:val="bg-BG"/>
        </w:rPr>
        <w:t>,</w:t>
      </w:r>
      <w:r w:rsidR="00D8089D" w:rsidRPr="006C02F0">
        <w:rPr>
          <w:rFonts w:ascii="Times New Roman" w:hAnsi="Times New Roman" w:cs="Times New Roman"/>
          <w:color w:val="auto"/>
          <w:lang w:val="bg-BG"/>
        </w:rPr>
        <w:t xml:space="preserve"> и следователно не може да се квалифицира като икономическа дейност.</w:t>
      </w:r>
    </w:p>
    <w:p w:rsidR="00EC7D81" w:rsidRPr="006C02F0" w:rsidRDefault="00D8089D">
      <w:pPr>
        <w:pStyle w:val="Bodytext21"/>
        <w:numPr>
          <w:ilvl w:val="0"/>
          <w:numId w:val="1"/>
        </w:numPr>
        <w:tabs>
          <w:tab w:val="left" w:pos="357"/>
        </w:tabs>
        <w:spacing w:before="0"/>
        <w:ind w:left="380" w:hanging="380"/>
        <w:rPr>
          <w:rFonts w:ascii="Times New Roman" w:hAnsi="Times New Roman" w:cs="Times New Roman"/>
          <w:color w:val="auto"/>
          <w:lang w:val="bg-BG"/>
        </w:rPr>
      </w:pPr>
      <w:r w:rsidRPr="006C02F0">
        <w:rPr>
          <w:rFonts w:ascii="Times New Roman" w:hAnsi="Times New Roman" w:cs="Times New Roman"/>
          <w:color w:val="auto"/>
          <w:lang w:val="bg-BG"/>
        </w:rPr>
        <w:t xml:space="preserve">С цел да се остане в рамките на публичната си задача по предоставяне на информация, </w:t>
      </w:r>
      <w:r w:rsidR="00D35120" w:rsidRPr="006C02F0">
        <w:rPr>
          <w:rFonts w:ascii="Times New Roman" w:hAnsi="Times New Roman" w:cs="Times New Roman"/>
          <w:color w:val="auto"/>
          <w:lang w:val="bg-BG"/>
        </w:rPr>
        <w:t>такъв</w:t>
      </w:r>
      <w:r w:rsidRPr="006C02F0">
        <w:rPr>
          <w:rFonts w:ascii="Times New Roman" w:hAnsi="Times New Roman" w:cs="Times New Roman"/>
          <w:color w:val="auto"/>
          <w:lang w:val="bg-BG"/>
        </w:rPr>
        <w:t xml:space="preserve"> уебсайт не следва да включва рекламни </w:t>
      </w:r>
      <w:r w:rsidR="00D35120" w:rsidRPr="006C02F0">
        <w:rPr>
          <w:rFonts w:ascii="Times New Roman" w:hAnsi="Times New Roman" w:cs="Times New Roman"/>
          <w:color w:val="auto"/>
          <w:lang w:val="bg-BG"/>
        </w:rPr>
        <w:t>възможности</w:t>
      </w:r>
      <w:r w:rsidRPr="006C02F0">
        <w:rPr>
          <w:rFonts w:ascii="Times New Roman" w:hAnsi="Times New Roman" w:cs="Times New Roman"/>
          <w:color w:val="auto"/>
          <w:lang w:val="bg-BG"/>
        </w:rPr>
        <w:t xml:space="preserve"> или </w:t>
      </w:r>
      <w:r w:rsidR="00D35120" w:rsidRPr="006C02F0">
        <w:rPr>
          <w:rFonts w:ascii="Times New Roman" w:hAnsi="Times New Roman" w:cs="Times New Roman"/>
          <w:color w:val="auto"/>
          <w:lang w:val="bg-BG"/>
        </w:rPr>
        <w:t>такива за резервации</w:t>
      </w:r>
      <w:r w:rsidRPr="006C02F0">
        <w:rPr>
          <w:rFonts w:ascii="Times New Roman" w:hAnsi="Times New Roman" w:cs="Times New Roman"/>
          <w:color w:val="auto"/>
          <w:lang w:val="bg-BG"/>
        </w:rPr>
        <w:t xml:space="preserve">, които обикновено могат да се квалифицират като дейности от стопанско естество. Освен това, дейностите, осъществявани в рамките на функцията </w:t>
      </w:r>
      <w:r w:rsidR="008E5821" w:rsidRPr="006C02F0">
        <w:rPr>
          <w:rFonts w:ascii="Times New Roman" w:hAnsi="Times New Roman" w:cs="Times New Roman"/>
          <w:color w:val="auto"/>
          <w:lang w:val="bg-BG"/>
        </w:rPr>
        <w:t>по</w:t>
      </w:r>
      <w:r w:rsidRPr="006C02F0">
        <w:rPr>
          <w:rFonts w:ascii="Times New Roman" w:hAnsi="Times New Roman" w:cs="Times New Roman"/>
          <w:color w:val="auto"/>
          <w:lang w:val="bg-BG"/>
        </w:rPr>
        <w:t xml:space="preserve"> широк</w:t>
      </w:r>
      <w:r w:rsidR="008E5821" w:rsidRPr="006C02F0">
        <w:rPr>
          <w:rFonts w:ascii="Times New Roman" w:hAnsi="Times New Roman" w:cs="Times New Roman"/>
          <w:color w:val="auto"/>
          <w:lang w:val="bg-BG"/>
        </w:rPr>
        <w:t xml:space="preserve">о информиране на </w:t>
      </w:r>
      <w:r w:rsidRPr="006C02F0">
        <w:rPr>
          <w:rFonts w:ascii="Times New Roman" w:hAnsi="Times New Roman" w:cs="Times New Roman"/>
          <w:color w:val="auto"/>
          <w:lang w:val="bg-BG"/>
        </w:rPr>
        <w:t>обществ</w:t>
      </w:r>
      <w:r w:rsidR="008E5821" w:rsidRPr="006C02F0">
        <w:rPr>
          <w:rFonts w:ascii="Times New Roman" w:hAnsi="Times New Roman" w:cs="Times New Roman"/>
          <w:color w:val="auto"/>
          <w:lang w:val="bg-BG"/>
        </w:rPr>
        <w:t>ото</w:t>
      </w:r>
      <w:r w:rsidRPr="006C02F0">
        <w:rPr>
          <w:rFonts w:ascii="Times New Roman" w:hAnsi="Times New Roman" w:cs="Times New Roman"/>
          <w:color w:val="auto"/>
          <w:lang w:val="bg-BG"/>
        </w:rPr>
        <w:t xml:space="preserve"> не трябва да се използва</w:t>
      </w:r>
      <w:r w:rsidR="008E5821" w:rsidRPr="006C02F0">
        <w:rPr>
          <w:rFonts w:ascii="Times New Roman" w:hAnsi="Times New Roman" w:cs="Times New Roman"/>
          <w:color w:val="auto"/>
          <w:lang w:val="bg-BG"/>
        </w:rPr>
        <w:t>т</w:t>
      </w:r>
      <w:r w:rsidRPr="006C02F0">
        <w:rPr>
          <w:rFonts w:ascii="Times New Roman" w:hAnsi="Times New Roman" w:cs="Times New Roman"/>
          <w:color w:val="auto"/>
          <w:lang w:val="bg-BG"/>
        </w:rPr>
        <w:t xml:space="preserve"> за рекламиране на ед</w:t>
      </w:r>
      <w:r w:rsidR="008E5821" w:rsidRPr="006C02F0">
        <w:rPr>
          <w:rFonts w:ascii="Times New Roman" w:hAnsi="Times New Roman" w:cs="Times New Roman"/>
          <w:color w:val="auto"/>
          <w:lang w:val="bg-BG"/>
        </w:rPr>
        <w:t>и</w:t>
      </w:r>
      <w:r w:rsidRPr="006C02F0">
        <w:rPr>
          <w:rFonts w:ascii="Times New Roman" w:hAnsi="Times New Roman" w:cs="Times New Roman"/>
          <w:color w:val="auto"/>
          <w:lang w:val="bg-BG"/>
        </w:rPr>
        <w:t>н или повече търговски продукти в сравнение с другите търговски продукти по начин, който не е част от изпълнението на тази функция. Например, дейности</w:t>
      </w:r>
      <w:r w:rsidR="00F56993" w:rsidRPr="006C02F0">
        <w:rPr>
          <w:rFonts w:ascii="Times New Roman" w:hAnsi="Times New Roman" w:cs="Times New Roman"/>
          <w:color w:val="auto"/>
          <w:lang w:val="bg-BG"/>
        </w:rPr>
        <w:t xml:space="preserve">те </w:t>
      </w:r>
      <w:r w:rsidRPr="006C02F0">
        <w:rPr>
          <w:rFonts w:ascii="Times New Roman" w:hAnsi="Times New Roman" w:cs="Times New Roman"/>
          <w:color w:val="auto"/>
          <w:lang w:val="bg-BG"/>
        </w:rPr>
        <w:t xml:space="preserve">следва да са насочени към осигуряване на информация за местно настаняване по неутрален начин, а не </w:t>
      </w:r>
      <w:r w:rsidR="00F56993" w:rsidRPr="006C02F0">
        <w:rPr>
          <w:rFonts w:ascii="Times New Roman" w:hAnsi="Times New Roman" w:cs="Times New Roman"/>
          <w:color w:val="auto"/>
          <w:lang w:val="bg-BG"/>
        </w:rPr>
        <w:t>за конкретно</w:t>
      </w:r>
      <w:r w:rsidRPr="006C02F0">
        <w:rPr>
          <w:rFonts w:ascii="Times New Roman" w:hAnsi="Times New Roman" w:cs="Times New Roman"/>
          <w:color w:val="auto"/>
          <w:lang w:val="bg-BG"/>
        </w:rPr>
        <w:t xml:space="preserve"> настаняване </w:t>
      </w:r>
      <w:r w:rsidR="00F56993" w:rsidRPr="006C02F0">
        <w:rPr>
          <w:rFonts w:ascii="Times New Roman" w:hAnsi="Times New Roman" w:cs="Times New Roman"/>
          <w:color w:val="auto"/>
          <w:lang w:val="bg-BG"/>
        </w:rPr>
        <w:t>при</w:t>
      </w:r>
      <w:r w:rsidRPr="006C02F0">
        <w:rPr>
          <w:rFonts w:ascii="Times New Roman" w:hAnsi="Times New Roman" w:cs="Times New Roman"/>
          <w:color w:val="auto"/>
          <w:lang w:val="bg-BG"/>
        </w:rPr>
        <w:t xml:space="preserve"> </w:t>
      </w:r>
      <w:r w:rsidR="00F56993" w:rsidRPr="006C02F0">
        <w:rPr>
          <w:rFonts w:ascii="Times New Roman" w:hAnsi="Times New Roman" w:cs="Times New Roman"/>
          <w:color w:val="auto"/>
          <w:lang w:val="bg-BG"/>
        </w:rPr>
        <w:t>определени</w:t>
      </w:r>
      <w:r w:rsidRPr="006C02F0">
        <w:rPr>
          <w:rFonts w:ascii="Times New Roman" w:hAnsi="Times New Roman" w:cs="Times New Roman"/>
          <w:color w:val="auto"/>
          <w:lang w:val="bg-BG"/>
        </w:rPr>
        <w:t xml:space="preserve"> доставчици.</w:t>
      </w:r>
    </w:p>
    <w:p w:rsidR="00EC7D81" w:rsidRPr="006C02F0" w:rsidRDefault="00D8089D">
      <w:pPr>
        <w:pStyle w:val="Bodytext21"/>
        <w:numPr>
          <w:ilvl w:val="0"/>
          <w:numId w:val="1"/>
        </w:numPr>
        <w:tabs>
          <w:tab w:val="left" w:pos="357"/>
        </w:tabs>
        <w:spacing w:before="0"/>
        <w:ind w:left="380" w:hanging="380"/>
        <w:rPr>
          <w:rFonts w:ascii="Times New Roman" w:hAnsi="Times New Roman" w:cs="Times New Roman"/>
          <w:color w:val="auto"/>
          <w:lang w:val="bg-BG"/>
        </w:rPr>
      </w:pPr>
      <w:r w:rsidRPr="006C02F0">
        <w:rPr>
          <w:rFonts w:ascii="Times New Roman" w:hAnsi="Times New Roman" w:cs="Times New Roman"/>
          <w:color w:val="auto"/>
          <w:lang w:val="bg-BG"/>
        </w:rPr>
        <w:t>По отношение на културата, опазването на културното</w:t>
      </w:r>
      <w:r w:rsidR="009543A6" w:rsidRPr="006C02F0">
        <w:rPr>
          <w:rFonts w:ascii="Times New Roman" w:hAnsi="Times New Roman" w:cs="Times New Roman"/>
          <w:color w:val="auto"/>
          <w:lang w:val="bg-BG"/>
        </w:rPr>
        <w:t xml:space="preserve"> и природното наследство</w:t>
      </w:r>
      <w:r w:rsidRPr="006C02F0">
        <w:rPr>
          <w:rFonts w:ascii="Times New Roman" w:hAnsi="Times New Roman" w:cs="Times New Roman"/>
          <w:color w:val="auto"/>
          <w:lang w:val="bg-BG"/>
        </w:rPr>
        <w:t>, много дейности са организирани по нетърговски начин и поради това с</w:t>
      </w:r>
      <w:r w:rsidR="009543A6" w:rsidRPr="006C02F0">
        <w:rPr>
          <w:rFonts w:ascii="Times New Roman" w:hAnsi="Times New Roman" w:cs="Times New Roman"/>
          <w:color w:val="auto"/>
          <w:lang w:val="bg-BG"/>
        </w:rPr>
        <w:t>а с</w:t>
      </w:r>
      <w:r w:rsidRPr="006C02F0">
        <w:rPr>
          <w:rFonts w:ascii="Times New Roman" w:hAnsi="Times New Roman" w:cs="Times New Roman"/>
          <w:color w:val="auto"/>
          <w:lang w:val="bg-BG"/>
        </w:rPr>
        <w:t xml:space="preserve"> нестопански характер. Моля вижте подробно </w:t>
      </w:r>
      <w:r w:rsidR="004E22A9" w:rsidRPr="006C02F0">
        <w:rPr>
          <w:rFonts w:ascii="Times New Roman" w:hAnsi="Times New Roman" w:cs="Times New Roman"/>
          <w:color w:val="auto"/>
          <w:lang w:val="bg-BG"/>
        </w:rPr>
        <w:t>указанията в</w:t>
      </w:r>
      <w:r w:rsidRPr="006C02F0">
        <w:rPr>
          <w:rFonts w:ascii="Times New Roman" w:hAnsi="Times New Roman" w:cs="Times New Roman"/>
          <w:color w:val="auto"/>
          <w:lang w:val="bg-BG"/>
        </w:rPr>
        <w:t xml:space="preserve"> точка 2.6 от Известието относно понятието за помощ.</w:t>
      </w:r>
      <w:r w:rsidRPr="006C02F0">
        <w:rPr>
          <w:rStyle w:val="FootnoteAnchor"/>
          <w:rFonts w:ascii="Times New Roman" w:hAnsi="Times New Roman" w:cs="Times New Roman"/>
          <w:color w:val="auto"/>
          <w:lang w:val="bg-BG"/>
        </w:rPr>
        <w:footnoteReference w:id="2"/>
      </w:r>
    </w:p>
    <w:p w:rsidR="00EC7D81" w:rsidRPr="006C02F0" w:rsidRDefault="00D8089D">
      <w:pPr>
        <w:pStyle w:val="Bodytext21"/>
        <w:numPr>
          <w:ilvl w:val="0"/>
          <w:numId w:val="1"/>
        </w:numPr>
        <w:tabs>
          <w:tab w:val="left" w:pos="357"/>
        </w:tabs>
        <w:spacing w:before="0" w:after="287"/>
        <w:ind w:left="400"/>
        <w:rPr>
          <w:rFonts w:ascii="Times New Roman" w:hAnsi="Times New Roman" w:cs="Times New Roman"/>
          <w:color w:val="auto"/>
          <w:lang w:val="bg-BG"/>
        </w:rPr>
      </w:pPr>
      <w:r w:rsidRPr="006C02F0">
        <w:rPr>
          <w:rFonts w:ascii="Times New Roman" w:hAnsi="Times New Roman" w:cs="Times New Roman"/>
          <w:color w:val="auto"/>
          <w:lang w:val="bg-BG"/>
        </w:rPr>
        <w:t>Други дейности, които не попадат в посочените по-горе категории на нестопански</w:t>
      </w:r>
      <w:r w:rsidR="004E22A9" w:rsidRPr="006C02F0">
        <w:rPr>
          <w:rFonts w:ascii="Times New Roman" w:hAnsi="Times New Roman" w:cs="Times New Roman"/>
          <w:color w:val="auto"/>
          <w:lang w:val="bg-BG"/>
        </w:rPr>
        <w:t>те</w:t>
      </w:r>
      <w:r w:rsidRPr="006C02F0">
        <w:rPr>
          <w:rFonts w:ascii="Times New Roman" w:hAnsi="Times New Roman" w:cs="Times New Roman"/>
          <w:color w:val="auto"/>
          <w:lang w:val="bg-BG"/>
        </w:rPr>
        <w:t xml:space="preserve"> дейности, и които засягат или могат да се конкурират с дейностите, извършвани от търговски оператори в туристическата индустрия, като продажбата на билети, резерв</w:t>
      </w:r>
      <w:r w:rsidR="004E22A9" w:rsidRPr="006C02F0">
        <w:rPr>
          <w:rFonts w:ascii="Times New Roman" w:hAnsi="Times New Roman" w:cs="Times New Roman"/>
          <w:color w:val="auto"/>
          <w:lang w:val="bg-BG"/>
        </w:rPr>
        <w:t>аци за настаняване</w:t>
      </w:r>
      <w:r w:rsidRPr="006C02F0">
        <w:rPr>
          <w:rFonts w:ascii="Times New Roman" w:hAnsi="Times New Roman" w:cs="Times New Roman"/>
          <w:color w:val="auto"/>
          <w:lang w:val="bg-BG"/>
        </w:rPr>
        <w:t>, продажба на пътническ</w:t>
      </w:r>
      <w:r w:rsidR="004E22A9" w:rsidRPr="006C02F0">
        <w:rPr>
          <w:rFonts w:ascii="Times New Roman" w:hAnsi="Times New Roman" w:cs="Times New Roman"/>
          <w:color w:val="auto"/>
          <w:lang w:val="bg-BG"/>
        </w:rPr>
        <w:t>а</w:t>
      </w:r>
      <w:r w:rsidRPr="006C02F0">
        <w:rPr>
          <w:rFonts w:ascii="Times New Roman" w:hAnsi="Times New Roman" w:cs="Times New Roman"/>
          <w:color w:val="auto"/>
          <w:lang w:val="bg-BG"/>
        </w:rPr>
        <w:t xml:space="preserve"> литература или сувенири, рекламата и продажбата на ваканционн</w:t>
      </w:r>
      <w:r w:rsidR="004E22A9" w:rsidRPr="006C02F0">
        <w:rPr>
          <w:rFonts w:ascii="Times New Roman" w:hAnsi="Times New Roman" w:cs="Times New Roman"/>
          <w:color w:val="auto"/>
          <w:lang w:val="bg-BG"/>
        </w:rPr>
        <w:t>о настаняване</w:t>
      </w:r>
      <w:r w:rsidRPr="006C02F0">
        <w:rPr>
          <w:rFonts w:ascii="Times New Roman" w:hAnsi="Times New Roman" w:cs="Times New Roman"/>
          <w:color w:val="auto"/>
          <w:lang w:val="bg-BG"/>
        </w:rPr>
        <w:t>, обикновено са с икономически характер.</w:t>
      </w:r>
    </w:p>
    <w:p w:rsidR="00EC7D81" w:rsidRPr="006C02F0" w:rsidRDefault="00D8089D">
      <w:pPr>
        <w:pStyle w:val="Bodytext21"/>
        <w:numPr>
          <w:ilvl w:val="0"/>
          <w:numId w:val="1"/>
        </w:numPr>
        <w:tabs>
          <w:tab w:val="left" w:pos="357"/>
        </w:tabs>
        <w:spacing w:before="0" w:after="287"/>
        <w:ind w:left="400"/>
        <w:rPr>
          <w:rFonts w:ascii="Times New Roman" w:hAnsi="Times New Roman" w:cs="Times New Roman"/>
          <w:color w:val="auto"/>
          <w:lang w:val="bg-BG"/>
        </w:rPr>
      </w:pPr>
      <w:r w:rsidRPr="006C02F0">
        <w:rPr>
          <w:rFonts w:ascii="Times New Roman" w:hAnsi="Times New Roman" w:cs="Times New Roman"/>
          <w:color w:val="auto"/>
          <w:lang w:val="bg-BG"/>
        </w:rPr>
        <w:t>Ако доставчик извършва както стопански, така и нестопански дейности, държавите членки трябва да гарантират, че публичното финансиране, предоставено за нестопански дейности, не може да се използва за кръстосано субсидиране на стопанските дейности. Това може да се постигне например чрез ограничаване на финансирането с публични средства на нетните разходи за нестопанските дейности, които трябва да бъдат установени въз основа на ясно разделяне на счетоводните сметки.</w:t>
      </w:r>
    </w:p>
    <w:p w:rsidR="00EC7D81" w:rsidRPr="006C02F0" w:rsidRDefault="00D8089D">
      <w:pPr>
        <w:pStyle w:val="Heading12"/>
        <w:keepNext/>
        <w:keepLines/>
        <w:spacing w:after="154"/>
        <w:ind w:left="400"/>
        <w:rPr>
          <w:rFonts w:ascii="Times New Roman" w:hAnsi="Times New Roman" w:cs="Times New Roman"/>
          <w:color w:val="auto"/>
          <w:lang w:val="bg-BG"/>
        </w:rPr>
      </w:pPr>
      <w:bookmarkStart w:id="4" w:name="bookmark5"/>
      <w:bookmarkEnd w:id="4"/>
      <w:r w:rsidRPr="006C02F0">
        <w:rPr>
          <w:rFonts w:ascii="Times New Roman" w:hAnsi="Times New Roman" w:cs="Times New Roman"/>
          <w:color w:val="auto"/>
          <w:lang w:val="bg-BG"/>
        </w:rPr>
        <w:lastRenderedPageBreak/>
        <w:t xml:space="preserve">2. </w:t>
      </w:r>
      <w:r w:rsidR="00E15B0F" w:rsidRPr="006C02F0">
        <w:rPr>
          <w:rFonts w:ascii="Times New Roman" w:hAnsi="Times New Roman" w:cs="Times New Roman"/>
          <w:color w:val="auto"/>
          <w:lang w:val="bg-BG"/>
        </w:rPr>
        <w:t>Липса на</w:t>
      </w:r>
      <w:r w:rsidRPr="006C02F0">
        <w:rPr>
          <w:rFonts w:ascii="Times New Roman" w:hAnsi="Times New Roman" w:cs="Times New Roman"/>
          <w:color w:val="auto"/>
          <w:lang w:val="bg-BG"/>
        </w:rPr>
        <w:t xml:space="preserve"> ефект върху търговията между държавите членки</w:t>
      </w:r>
    </w:p>
    <w:p w:rsidR="00EC7D81" w:rsidRPr="006C02F0" w:rsidRDefault="00D8089D">
      <w:pPr>
        <w:pStyle w:val="Bodytext21"/>
        <w:numPr>
          <w:ilvl w:val="0"/>
          <w:numId w:val="1"/>
        </w:numPr>
        <w:tabs>
          <w:tab w:val="left" w:pos="357"/>
        </w:tabs>
        <w:spacing w:before="0" w:after="120"/>
        <w:ind w:left="400"/>
        <w:rPr>
          <w:rStyle w:val="Bodytext2Italic"/>
          <w:rFonts w:ascii="Times New Roman" w:hAnsi="Times New Roman" w:cs="Times New Roman"/>
          <w:color w:val="auto"/>
          <w:lang w:val="bg-BG"/>
        </w:rPr>
      </w:pPr>
      <w:r w:rsidRPr="006C02F0">
        <w:rPr>
          <w:rFonts w:ascii="Times New Roman" w:hAnsi="Times New Roman" w:cs="Times New Roman"/>
          <w:color w:val="auto"/>
          <w:lang w:val="bg-BG"/>
        </w:rPr>
        <w:t>Засягането на търговията между държавите членки по смисъла на член 107, параграф 1 ДФЕС трябва да бъде установен</w:t>
      </w:r>
      <w:r w:rsidR="00AC04B0" w:rsidRPr="006C02F0">
        <w:rPr>
          <w:rFonts w:ascii="Times New Roman" w:hAnsi="Times New Roman" w:cs="Times New Roman"/>
          <w:color w:val="auto"/>
          <w:lang w:val="bg-BG"/>
        </w:rPr>
        <w:t>о</w:t>
      </w:r>
      <w:r w:rsidRPr="006C02F0">
        <w:rPr>
          <w:rFonts w:ascii="Times New Roman" w:hAnsi="Times New Roman" w:cs="Times New Roman"/>
          <w:color w:val="auto"/>
          <w:lang w:val="bg-BG"/>
        </w:rPr>
        <w:t xml:space="preserve"> </w:t>
      </w:r>
      <w:r w:rsidR="00AC04B0" w:rsidRPr="006C02F0">
        <w:rPr>
          <w:rFonts w:ascii="Times New Roman" w:hAnsi="Times New Roman" w:cs="Times New Roman"/>
          <w:color w:val="auto"/>
          <w:lang w:val="bg-BG"/>
        </w:rPr>
        <w:t>за</w:t>
      </w:r>
      <w:r w:rsidRPr="006C02F0">
        <w:rPr>
          <w:rFonts w:ascii="Times New Roman" w:hAnsi="Times New Roman" w:cs="Times New Roman"/>
          <w:color w:val="auto"/>
          <w:lang w:val="bg-BG"/>
        </w:rPr>
        <w:t xml:space="preserve"> всеки отделен случай, с изключение на случаите, попадащи в обхвата на регламента de minimis.</w:t>
      </w:r>
    </w:p>
    <w:p w:rsidR="00EC7D81" w:rsidRPr="006C02F0" w:rsidRDefault="00D8089D">
      <w:pPr>
        <w:pStyle w:val="Bodytext21"/>
        <w:numPr>
          <w:ilvl w:val="0"/>
          <w:numId w:val="1"/>
        </w:numPr>
        <w:tabs>
          <w:tab w:val="left" w:pos="357"/>
        </w:tabs>
        <w:spacing w:before="0" w:after="120"/>
        <w:ind w:left="400"/>
        <w:rPr>
          <w:rFonts w:ascii="Times New Roman" w:hAnsi="Times New Roman" w:cs="Times New Roman"/>
          <w:color w:val="auto"/>
          <w:lang w:val="bg-BG"/>
        </w:rPr>
      </w:pPr>
      <w:r w:rsidRPr="006C02F0">
        <w:rPr>
          <w:rFonts w:ascii="Times New Roman" w:hAnsi="Times New Roman" w:cs="Times New Roman"/>
          <w:color w:val="auto"/>
          <w:lang w:val="bg-BG"/>
        </w:rPr>
        <w:t>Дадена мярка има само местно въздействие и следователно не оказва въздействие върху търговията между държавите членки, ако</w:t>
      </w:r>
      <w:r w:rsidR="00AC04B0" w:rsidRPr="006C02F0">
        <w:rPr>
          <w:rFonts w:ascii="Times New Roman" w:hAnsi="Times New Roman" w:cs="Times New Roman"/>
          <w:color w:val="auto"/>
          <w:lang w:val="bg-BG"/>
        </w:rPr>
        <w:t>:</w:t>
      </w:r>
      <w:r w:rsidRPr="006C02F0">
        <w:rPr>
          <w:rFonts w:ascii="Times New Roman" w:hAnsi="Times New Roman" w:cs="Times New Roman"/>
          <w:color w:val="auto"/>
          <w:lang w:val="bg-BG"/>
        </w:rPr>
        <w:t xml:space="preserve"> i) бенефициерът доставя стоки или услуги в ограничен район на дадена държава членка и е малко вероятно да привлича клиенти от други държави членки, </w:t>
      </w:r>
      <w:r w:rsidRPr="006C02F0">
        <w:rPr>
          <w:rFonts w:ascii="Times New Roman" w:hAnsi="Times New Roman" w:cs="Times New Roman"/>
          <w:b/>
          <w:color w:val="auto"/>
          <w:lang w:val="bg-BG"/>
        </w:rPr>
        <w:t>и</w:t>
      </w:r>
      <w:r w:rsidRPr="006C02F0">
        <w:rPr>
          <w:rFonts w:ascii="Times New Roman" w:hAnsi="Times New Roman" w:cs="Times New Roman"/>
          <w:color w:val="auto"/>
          <w:lang w:val="bg-BG"/>
        </w:rPr>
        <w:t xml:space="preserve"> (ii) не е възможно да се предвиди, че мярката ще има повече от незначително влияние върху условията на трансграничните инвестиции или установяване.</w:t>
      </w:r>
      <w:r w:rsidRPr="006C02F0">
        <w:rPr>
          <w:rStyle w:val="FootnoteAnchor"/>
          <w:rFonts w:ascii="Times New Roman" w:hAnsi="Times New Roman" w:cs="Times New Roman"/>
          <w:color w:val="auto"/>
          <w:lang w:val="bg-BG"/>
        </w:rPr>
        <w:footnoteReference w:id="3"/>
      </w:r>
    </w:p>
    <w:p w:rsidR="00EC7D81" w:rsidRPr="006C02F0" w:rsidRDefault="00D8089D">
      <w:pPr>
        <w:pStyle w:val="Bodytext21"/>
        <w:numPr>
          <w:ilvl w:val="0"/>
          <w:numId w:val="1"/>
        </w:numPr>
        <w:tabs>
          <w:tab w:val="left" w:pos="357"/>
        </w:tabs>
        <w:spacing w:before="0" w:after="120"/>
        <w:ind w:left="400"/>
        <w:rPr>
          <w:rFonts w:ascii="Times New Roman" w:hAnsi="Times New Roman" w:cs="Times New Roman"/>
          <w:color w:val="auto"/>
          <w:lang w:val="bg-BG"/>
        </w:rPr>
      </w:pPr>
      <w:r w:rsidRPr="006C02F0">
        <w:rPr>
          <w:rFonts w:ascii="Times New Roman" w:hAnsi="Times New Roman" w:cs="Times New Roman"/>
          <w:color w:val="auto"/>
          <w:lang w:val="bg-BG"/>
        </w:rPr>
        <w:t>То</w:t>
      </w:r>
      <w:r w:rsidR="00D23B9E" w:rsidRPr="006C02F0">
        <w:rPr>
          <w:rFonts w:ascii="Times New Roman" w:hAnsi="Times New Roman" w:cs="Times New Roman"/>
          <w:color w:val="auto"/>
          <w:lang w:val="bg-BG"/>
        </w:rPr>
        <w:t xml:space="preserve">зи тест </w:t>
      </w:r>
      <w:r w:rsidRPr="006C02F0">
        <w:rPr>
          <w:rFonts w:ascii="Times New Roman" w:hAnsi="Times New Roman" w:cs="Times New Roman"/>
          <w:color w:val="auto"/>
          <w:lang w:val="bg-BG"/>
        </w:rPr>
        <w:t xml:space="preserve">се прилага също така за развлекателни съоръжения (например </w:t>
      </w:r>
      <w:r w:rsidR="00D23B9E" w:rsidRPr="006C02F0">
        <w:rPr>
          <w:rFonts w:ascii="Times New Roman" w:hAnsi="Times New Roman" w:cs="Times New Roman"/>
          <w:color w:val="auto"/>
          <w:lang w:val="bg-BG"/>
        </w:rPr>
        <w:t xml:space="preserve">при </w:t>
      </w:r>
      <w:r w:rsidRPr="006C02F0">
        <w:rPr>
          <w:rFonts w:ascii="Times New Roman" w:hAnsi="Times New Roman" w:cs="Times New Roman"/>
          <w:color w:val="auto"/>
          <w:lang w:val="bg-BG"/>
        </w:rPr>
        <w:t xml:space="preserve">лоши атмосферни условия) или за пикник места, които могат да се използват срещу заплащане на такса. Местният </w:t>
      </w:r>
      <w:r w:rsidR="00D23B9E" w:rsidRPr="006C02F0">
        <w:rPr>
          <w:rFonts w:ascii="Times New Roman" w:hAnsi="Times New Roman" w:cs="Times New Roman"/>
          <w:color w:val="auto"/>
          <w:lang w:val="bg-BG"/>
        </w:rPr>
        <w:t>обхват</w:t>
      </w:r>
      <w:r w:rsidRPr="006C02F0">
        <w:rPr>
          <w:rFonts w:ascii="Times New Roman" w:hAnsi="Times New Roman" w:cs="Times New Roman"/>
          <w:color w:val="auto"/>
          <w:lang w:val="bg-BG"/>
        </w:rPr>
        <w:t xml:space="preserve"> се определя като се вземат предвид следните фактори: I) местоположението на тази инфраструктура; (II) превес на местните потребители; III), общият капацитет на инфраструктурата спрямо броя на местните ползватели; и iv) наличие на други туристически съоръжения в района.</w:t>
      </w:r>
    </w:p>
    <w:p w:rsidR="00EC7D81" w:rsidRPr="006C02F0" w:rsidRDefault="00D8089D">
      <w:pPr>
        <w:pStyle w:val="Bodytext21"/>
        <w:numPr>
          <w:ilvl w:val="0"/>
          <w:numId w:val="1"/>
        </w:numPr>
        <w:tabs>
          <w:tab w:val="left" w:pos="357"/>
        </w:tabs>
        <w:spacing w:before="0" w:after="120"/>
        <w:ind w:left="400"/>
        <w:rPr>
          <w:rFonts w:ascii="Times New Roman" w:hAnsi="Times New Roman" w:cs="Times New Roman"/>
          <w:color w:val="auto"/>
          <w:lang w:val="bg-BG"/>
        </w:rPr>
      </w:pPr>
      <w:r w:rsidRPr="006C02F0">
        <w:rPr>
          <w:rFonts w:ascii="Times New Roman" w:hAnsi="Times New Roman" w:cs="Times New Roman"/>
          <w:color w:val="auto"/>
          <w:lang w:val="bg-BG"/>
        </w:rPr>
        <w:t>То</w:t>
      </w:r>
      <w:r w:rsidR="00D23B9E" w:rsidRPr="006C02F0">
        <w:rPr>
          <w:rFonts w:ascii="Times New Roman" w:hAnsi="Times New Roman" w:cs="Times New Roman"/>
          <w:color w:val="auto"/>
          <w:lang w:val="bg-BG"/>
        </w:rPr>
        <w:t xml:space="preserve">зи тест </w:t>
      </w:r>
      <w:r w:rsidRPr="006C02F0">
        <w:rPr>
          <w:rFonts w:ascii="Times New Roman" w:hAnsi="Times New Roman" w:cs="Times New Roman"/>
          <w:color w:val="auto"/>
          <w:lang w:val="bg-BG"/>
        </w:rPr>
        <w:t xml:space="preserve">се прилага </w:t>
      </w:r>
      <w:r w:rsidR="00D23B9E" w:rsidRPr="006C02F0">
        <w:rPr>
          <w:rFonts w:ascii="Times New Roman" w:hAnsi="Times New Roman" w:cs="Times New Roman"/>
          <w:color w:val="auto"/>
          <w:lang w:val="bg-BG"/>
        </w:rPr>
        <w:t xml:space="preserve">също </w:t>
      </w:r>
      <w:r w:rsidRPr="006C02F0">
        <w:rPr>
          <w:rFonts w:ascii="Times New Roman" w:hAnsi="Times New Roman" w:cs="Times New Roman"/>
          <w:color w:val="auto"/>
          <w:lang w:val="bg-BG"/>
        </w:rPr>
        <w:t xml:space="preserve">и към други икономически дейности, свързани с туризма. Поради това, например, цялата дейност на </w:t>
      </w:r>
      <w:r w:rsidR="00D23B9E" w:rsidRPr="006C02F0">
        <w:rPr>
          <w:rFonts w:ascii="Times New Roman" w:hAnsi="Times New Roman" w:cs="Times New Roman"/>
          <w:color w:val="auto"/>
          <w:lang w:val="bg-BG"/>
        </w:rPr>
        <w:t>местен орган, който предлага</w:t>
      </w:r>
      <w:r w:rsidRPr="006C02F0">
        <w:rPr>
          <w:rFonts w:ascii="Times New Roman" w:hAnsi="Times New Roman" w:cs="Times New Roman"/>
          <w:color w:val="auto"/>
          <w:lang w:val="bg-BG"/>
        </w:rPr>
        <w:t xml:space="preserve"> набор от услуги (част от </w:t>
      </w:r>
      <w:r w:rsidR="00D23B9E" w:rsidRPr="006C02F0">
        <w:rPr>
          <w:rFonts w:ascii="Times New Roman" w:hAnsi="Times New Roman" w:cs="Times New Roman"/>
          <w:color w:val="auto"/>
          <w:lang w:val="bg-BG"/>
        </w:rPr>
        <w:t>които</w:t>
      </w:r>
      <w:r w:rsidRPr="006C02F0">
        <w:rPr>
          <w:rFonts w:ascii="Times New Roman" w:hAnsi="Times New Roman" w:cs="Times New Roman"/>
          <w:color w:val="auto"/>
          <w:lang w:val="bg-BG"/>
        </w:rPr>
        <w:t xml:space="preserve"> могат да бъдат определени като икономически и </w:t>
      </w:r>
      <w:r w:rsidR="00D23B9E" w:rsidRPr="006C02F0">
        <w:rPr>
          <w:rFonts w:ascii="Times New Roman" w:hAnsi="Times New Roman" w:cs="Times New Roman"/>
          <w:color w:val="auto"/>
          <w:lang w:val="bg-BG"/>
        </w:rPr>
        <w:t xml:space="preserve">част като </w:t>
      </w:r>
      <w:r w:rsidRPr="006C02F0">
        <w:rPr>
          <w:rFonts w:ascii="Times New Roman" w:hAnsi="Times New Roman" w:cs="Times New Roman"/>
          <w:color w:val="auto"/>
          <w:lang w:val="bg-BG"/>
        </w:rPr>
        <w:t xml:space="preserve">неикономически), </w:t>
      </w:r>
      <w:r w:rsidR="00D23B9E" w:rsidRPr="006C02F0">
        <w:rPr>
          <w:rFonts w:ascii="Times New Roman" w:hAnsi="Times New Roman" w:cs="Times New Roman"/>
          <w:color w:val="auto"/>
          <w:lang w:val="bg-BG"/>
        </w:rPr>
        <w:t>може</w:t>
      </w:r>
      <w:r w:rsidRPr="006C02F0">
        <w:rPr>
          <w:rFonts w:ascii="Times New Roman" w:hAnsi="Times New Roman" w:cs="Times New Roman"/>
          <w:color w:val="auto"/>
          <w:lang w:val="bg-BG"/>
        </w:rPr>
        <w:t xml:space="preserve"> да попад</w:t>
      </w:r>
      <w:r w:rsidR="00D23B9E" w:rsidRPr="006C02F0">
        <w:rPr>
          <w:rFonts w:ascii="Times New Roman" w:hAnsi="Times New Roman" w:cs="Times New Roman"/>
          <w:color w:val="auto"/>
          <w:lang w:val="bg-BG"/>
        </w:rPr>
        <w:t>не</w:t>
      </w:r>
      <w:r w:rsidRPr="006C02F0">
        <w:rPr>
          <w:rFonts w:ascii="Times New Roman" w:hAnsi="Times New Roman" w:cs="Times New Roman"/>
          <w:color w:val="auto"/>
          <w:lang w:val="bg-BG"/>
        </w:rPr>
        <w:t xml:space="preserve"> извън приложното поле на правилата за държавна помощ, при условие че има само местно въздействие. Елементи</w:t>
      </w:r>
      <w:r w:rsidR="00D23B9E" w:rsidRPr="006C02F0">
        <w:rPr>
          <w:rFonts w:ascii="Times New Roman" w:hAnsi="Times New Roman" w:cs="Times New Roman"/>
          <w:color w:val="auto"/>
          <w:lang w:val="bg-BG"/>
        </w:rPr>
        <w:t>те</w:t>
      </w:r>
      <w:r w:rsidRPr="006C02F0">
        <w:rPr>
          <w:rFonts w:ascii="Times New Roman" w:hAnsi="Times New Roman" w:cs="Times New Roman"/>
          <w:color w:val="auto"/>
          <w:lang w:val="bg-BG"/>
        </w:rPr>
        <w:t>, които следва да се вземат предвид, е дали услугите се предлагат само в ограничен географски район, дали съществуват само ограничен брой туристи от други държави членки, и дали има доставчици на подобни услуги от други държави членки.</w:t>
      </w:r>
    </w:p>
    <w:p w:rsidR="00EC7D81" w:rsidRPr="006C02F0" w:rsidRDefault="00D8089D">
      <w:pPr>
        <w:pStyle w:val="Bodytext21"/>
        <w:numPr>
          <w:ilvl w:val="0"/>
          <w:numId w:val="1"/>
        </w:numPr>
        <w:tabs>
          <w:tab w:val="left" w:pos="357"/>
        </w:tabs>
        <w:spacing w:before="0" w:after="120"/>
        <w:ind w:left="400"/>
        <w:rPr>
          <w:rFonts w:ascii="Times New Roman" w:hAnsi="Times New Roman" w:cs="Times New Roman"/>
          <w:color w:val="auto"/>
          <w:lang w:val="bg-BG"/>
        </w:rPr>
      </w:pPr>
      <w:r w:rsidRPr="006C02F0">
        <w:rPr>
          <w:rFonts w:ascii="Times New Roman" w:hAnsi="Times New Roman" w:cs="Times New Roman"/>
          <w:color w:val="auto"/>
          <w:lang w:val="bg-BG"/>
        </w:rPr>
        <w:t xml:space="preserve">Що се отнася до културните дейности и инфраструктури, Комисията счита, че само финансиране, предоставено </w:t>
      </w:r>
      <w:r w:rsidR="00D23B9E" w:rsidRPr="006C02F0">
        <w:rPr>
          <w:rFonts w:ascii="Times New Roman" w:hAnsi="Times New Roman" w:cs="Times New Roman"/>
          <w:color w:val="auto"/>
          <w:lang w:val="bg-BG"/>
        </w:rPr>
        <w:t>за</w:t>
      </w:r>
      <w:r w:rsidRPr="006C02F0">
        <w:rPr>
          <w:rFonts w:ascii="Times New Roman" w:hAnsi="Times New Roman" w:cs="Times New Roman"/>
          <w:color w:val="auto"/>
          <w:lang w:val="bg-BG"/>
        </w:rPr>
        <w:t xml:space="preserve"> големи и известни културни институции и мероприятия, които са широко рекламирани извън техния „</w:t>
      </w:r>
      <w:r w:rsidR="00D23B9E" w:rsidRPr="006C02F0">
        <w:rPr>
          <w:rFonts w:ascii="Times New Roman" w:hAnsi="Times New Roman" w:cs="Times New Roman"/>
          <w:color w:val="auto"/>
          <w:lang w:val="bg-BG"/>
        </w:rPr>
        <w:t>местен“ регион, има</w:t>
      </w:r>
      <w:r w:rsidRPr="006C02F0">
        <w:rPr>
          <w:rFonts w:ascii="Times New Roman" w:hAnsi="Times New Roman" w:cs="Times New Roman"/>
          <w:color w:val="auto"/>
          <w:lang w:val="bg-BG"/>
        </w:rPr>
        <w:t xml:space="preserve"> потенциал</w:t>
      </w:r>
      <w:r w:rsidR="00D23B9E" w:rsidRPr="006C02F0">
        <w:rPr>
          <w:rFonts w:ascii="Times New Roman" w:hAnsi="Times New Roman" w:cs="Times New Roman"/>
          <w:color w:val="auto"/>
          <w:lang w:val="bg-BG"/>
        </w:rPr>
        <w:t xml:space="preserve"> да засегне</w:t>
      </w:r>
      <w:r w:rsidRPr="006C02F0">
        <w:rPr>
          <w:rFonts w:ascii="Times New Roman" w:hAnsi="Times New Roman" w:cs="Times New Roman"/>
          <w:color w:val="auto"/>
          <w:lang w:val="bg-BG"/>
        </w:rPr>
        <w:t xml:space="preserve"> търговията между държавите членки. Комисията смята, че възстановяването на културни и исторически забележителности, в повечето случаи не засягат търговията в рамките на Съюза.</w:t>
      </w:r>
      <w:r w:rsidRPr="006C02F0">
        <w:rPr>
          <w:rStyle w:val="FootnoteAnchor"/>
          <w:rFonts w:ascii="Times New Roman" w:hAnsi="Times New Roman" w:cs="Times New Roman"/>
          <w:color w:val="auto"/>
          <w:lang w:val="bg-BG"/>
        </w:rPr>
        <w:footnoteReference w:id="4"/>
      </w:r>
    </w:p>
    <w:p w:rsidR="00EC7D81" w:rsidRPr="006C02F0" w:rsidRDefault="00EC7D81">
      <w:pPr>
        <w:pStyle w:val="Bodytext21"/>
        <w:tabs>
          <w:tab w:val="left" w:pos="357"/>
        </w:tabs>
        <w:spacing w:before="0" w:after="120"/>
        <w:ind w:left="400" w:firstLine="0"/>
        <w:rPr>
          <w:rFonts w:ascii="Times New Roman" w:hAnsi="Times New Roman" w:cs="Times New Roman"/>
          <w:color w:val="auto"/>
          <w:lang w:val="bg-BG"/>
        </w:rPr>
      </w:pPr>
    </w:p>
    <w:p w:rsidR="00EC7D81" w:rsidRPr="006C02F0" w:rsidRDefault="00D8089D">
      <w:pPr>
        <w:pStyle w:val="Heading12"/>
        <w:keepNext/>
        <w:keepLines/>
        <w:spacing w:after="154"/>
        <w:ind w:left="400"/>
        <w:rPr>
          <w:rFonts w:ascii="Times New Roman" w:hAnsi="Times New Roman" w:cs="Times New Roman"/>
          <w:color w:val="auto"/>
          <w:lang w:val="bg-BG"/>
        </w:rPr>
      </w:pPr>
      <w:r w:rsidRPr="006C02F0">
        <w:rPr>
          <w:rFonts w:ascii="Times New Roman" w:hAnsi="Times New Roman" w:cs="Times New Roman"/>
          <w:color w:val="auto"/>
          <w:lang w:val="bg-BG"/>
        </w:rPr>
        <w:t xml:space="preserve">3. </w:t>
      </w:r>
      <w:r w:rsidR="00D23B9E" w:rsidRPr="006C02F0">
        <w:rPr>
          <w:rFonts w:ascii="Times New Roman" w:hAnsi="Times New Roman" w:cs="Times New Roman"/>
          <w:i/>
          <w:color w:val="auto"/>
          <w:lang w:val="bg-BG"/>
        </w:rPr>
        <w:t>Регламент</w:t>
      </w:r>
      <w:r w:rsidRPr="006C02F0">
        <w:rPr>
          <w:rFonts w:ascii="Times New Roman" w:hAnsi="Times New Roman" w:cs="Times New Roman"/>
          <w:i/>
          <w:color w:val="auto"/>
          <w:lang w:val="bg-BG"/>
        </w:rPr>
        <w:t xml:space="preserve"> de minimis</w:t>
      </w:r>
      <w:r w:rsidRPr="006C02F0">
        <w:rPr>
          <w:rStyle w:val="FootnoteAnchor"/>
          <w:rFonts w:ascii="Times New Roman" w:hAnsi="Times New Roman" w:cs="Times New Roman"/>
          <w:color w:val="auto"/>
          <w:lang w:val="bg-BG"/>
        </w:rPr>
        <w:footnoteReference w:id="5"/>
      </w:r>
    </w:p>
    <w:p w:rsidR="00EC7D81" w:rsidRPr="006C02F0" w:rsidRDefault="00D8089D">
      <w:pPr>
        <w:pStyle w:val="Bodytext21"/>
        <w:numPr>
          <w:ilvl w:val="0"/>
          <w:numId w:val="1"/>
        </w:numPr>
        <w:tabs>
          <w:tab w:val="left" w:pos="385"/>
        </w:tabs>
        <w:spacing w:before="0" w:after="287"/>
        <w:ind w:left="400"/>
        <w:rPr>
          <w:rStyle w:val="Bodytext2Italic"/>
          <w:rFonts w:ascii="Times New Roman" w:hAnsi="Times New Roman" w:cs="Times New Roman"/>
          <w:color w:val="auto"/>
          <w:lang w:val="bg-BG"/>
        </w:rPr>
      </w:pPr>
      <w:r w:rsidRPr="006C02F0">
        <w:rPr>
          <w:rFonts w:ascii="Times New Roman" w:hAnsi="Times New Roman" w:cs="Times New Roman"/>
          <w:color w:val="auto"/>
          <w:lang w:val="bg-BG"/>
        </w:rPr>
        <w:t>Помощта, отпусната съгласно регламент de minimis, не се счита за държавна помощ, ако нейният размер не надвишава 200 000 EUR за едно и също предприятие за период от три години и другите условия, определени в Регламента за помощ de minimis, също са спазени.</w:t>
      </w:r>
    </w:p>
    <w:p w:rsidR="00EC7D81" w:rsidRPr="006C02F0" w:rsidRDefault="00D8089D">
      <w:pPr>
        <w:pStyle w:val="Heading12"/>
        <w:keepNext/>
        <w:keepLines/>
        <w:spacing w:after="154"/>
        <w:ind w:firstLine="0"/>
        <w:rPr>
          <w:rFonts w:ascii="Times New Roman" w:hAnsi="Times New Roman" w:cs="Times New Roman"/>
          <w:color w:val="auto"/>
          <w:lang w:val="bg-BG"/>
        </w:rPr>
      </w:pPr>
      <w:bookmarkStart w:id="5" w:name="bookmark6"/>
      <w:bookmarkEnd w:id="5"/>
      <w:r w:rsidRPr="006C02F0">
        <w:rPr>
          <w:rFonts w:ascii="Times New Roman" w:hAnsi="Times New Roman" w:cs="Times New Roman"/>
          <w:color w:val="auto"/>
          <w:lang w:val="bg-BG"/>
        </w:rPr>
        <w:t xml:space="preserve">4. </w:t>
      </w:r>
      <w:r w:rsidR="00D10B3C" w:rsidRPr="006C02F0">
        <w:rPr>
          <w:rFonts w:ascii="Times New Roman" w:hAnsi="Times New Roman" w:cs="Times New Roman"/>
          <w:color w:val="auto"/>
          <w:lang w:val="bg-BG"/>
        </w:rPr>
        <w:t>Липса на</w:t>
      </w:r>
      <w:r w:rsidRPr="006C02F0">
        <w:rPr>
          <w:rFonts w:ascii="Times New Roman" w:hAnsi="Times New Roman" w:cs="Times New Roman"/>
          <w:color w:val="auto"/>
          <w:lang w:val="bg-BG"/>
        </w:rPr>
        <w:t xml:space="preserve"> предимств</w:t>
      </w:r>
      <w:r w:rsidR="00D10B3C" w:rsidRPr="006C02F0">
        <w:rPr>
          <w:rFonts w:ascii="Times New Roman" w:hAnsi="Times New Roman" w:cs="Times New Roman"/>
          <w:color w:val="auto"/>
          <w:lang w:val="bg-BG"/>
        </w:rPr>
        <w:t>о</w:t>
      </w:r>
      <w:r w:rsidRPr="006C02F0">
        <w:rPr>
          <w:rFonts w:ascii="Times New Roman" w:hAnsi="Times New Roman" w:cs="Times New Roman"/>
          <w:color w:val="auto"/>
          <w:lang w:val="bg-BG"/>
        </w:rPr>
        <w:t>: Инвестиции в съответствие с принципа за оператор в условията на пазарна икономика</w:t>
      </w:r>
    </w:p>
    <w:p w:rsidR="00EC7D81" w:rsidRPr="006C02F0" w:rsidRDefault="00D8089D">
      <w:pPr>
        <w:pStyle w:val="Bodytext21"/>
        <w:numPr>
          <w:ilvl w:val="0"/>
          <w:numId w:val="1"/>
        </w:numPr>
        <w:tabs>
          <w:tab w:val="left" w:pos="385"/>
        </w:tabs>
        <w:spacing w:before="0" w:after="220"/>
        <w:ind w:left="400"/>
        <w:rPr>
          <w:rFonts w:ascii="Times New Roman" w:hAnsi="Times New Roman" w:cs="Times New Roman"/>
          <w:color w:val="auto"/>
          <w:lang w:val="bg-BG"/>
        </w:rPr>
      </w:pPr>
      <w:r w:rsidRPr="006C02F0">
        <w:rPr>
          <w:rFonts w:ascii="Times New Roman" w:hAnsi="Times New Roman" w:cs="Times New Roman"/>
          <w:color w:val="auto"/>
          <w:lang w:val="bg-BG"/>
        </w:rPr>
        <w:t xml:space="preserve">Ако се докаже, че държавата е действала при същите условия като частен инвеститор при предоставянето на необходимото финансиране, то не е налице държавна помощ. Това следва да се докаже чрез: (I) значителни </w:t>
      </w:r>
      <w:r w:rsidR="00D10B3C" w:rsidRPr="006C02F0">
        <w:rPr>
          <w:rFonts w:ascii="Times New Roman" w:hAnsi="Times New Roman" w:cs="Times New Roman"/>
          <w:color w:val="auto"/>
          <w:lang w:val="bg-BG"/>
        </w:rPr>
        <w:t>съ-</w:t>
      </w:r>
      <w:r w:rsidRPr="006C02F0">
        <w:rPr>
          <w:rFonts w:ascii="Times New Roman" w:hAnsi="Times New Roman" w:cs="Times New Roman"/>
          <w:color w:val="auto"/>
          <w:lang w:val="bg-BG"/>
        </w:rPr>
        <w:t xml:space="preserve">инвестиции </w:t>
      </w:r>
      <w:r w:rsidR="00D10B3C" w:rsidRPr="006C02F0">
        <w:rPr>
          <w:rFonts w:ascii="Times New Roman" w:hAnsi="Times New Roman" w:cs="Times New Roman"/>
          <w:color w:val="auto"/>
          <w:lang w:val="bg-BG"/>
        </w:rPr>
        <w:t>от</w:t>
      </w:r>
      <w:r w:rsidRPr="006C02F0">
        <w:rPr>
          <w:rFonts w:ascii="Times New Roman" w:hAnsi="Times New Roman" w:cs="Times New Roman"/>
          <w:color w:val="auto"/>
          <w:lang w:val="bg-BG"/>
        </w:rPr>
        <w:t xml:space="preserve"> частни оператори при равни условия (pari passu), т.е. при същите условия, както и публичните органи; и/или (ii) наличието на (преди да е предоставено финансиране) на стабилен </w:t>
      </w:r>
      <w:r w:rsidRPr="006C02F0">
        <w:rPr>
          <w:rFonts w:ascii="Times New Roman" w:hAnsi="Times New Roman" w:cs="Times New Roman"/>
          <w:color w:val="auto"/>
          <w:lang w:val="bg-BG"/>
        </w:rPr>
        <w:lastRenderedPageBreak/>
        <w:t>бизнес план (за предпочитане е потвърден от външни експерти), който доказва, че инвестициите осигуряват адекватна възвръщаемост за инвеститорите, която съответства на нормалната пазарна норма на възвръщаемост, която може да се очаква от търговски оператори за подобни проекти, като вземат предвид конкретните обстоятелства във всеки отделен случай.</w:t>
      </w:r>
    </w:p>
    <w:p w:rsidR="00EC7D81" w:rsidRPr="006C02F0" w:rsidRDefault="00D8089D">
      <w:pPr>
        <w:pStyle w:val="Bodytext21"/>
        <w:numPr>
          <w:ilvl w:val="0"/>
          <w:numId w:val="1"/>
        </w:numPr>
        <w:tabs>
          <w:tab w:val="left" w:pos="385"/>
        </w:tabs>
        <w:spacing w:before="0" w:after="220"/>
        <w:ind w:left="400"/>
        <w:rPr>
          <w:rFonts w:ascii="Times New Roman" w:hAnsi="Times New Roman" w:cs="Times New Roman"/>
          <w:color w:val="auto"/>
          <w:lang w:val="bg-BG"/>
        </w:rPr>
      </w:pPr>
      <w:r w:rsidRPr="006C02F0">
        <w:rPr>
          <w:rFonts w:ascii="Times New Roman" w:hAnsi="Times New Roman" w:cs="Times New Roman"/>
          <w:color w:val="auto"/>
          <w:lang w:val="bg-BG"/>
        </w:rPr>
        <w:t>При условие че са спазени гореспоменатите условия, публичен о</w:t>
      </w:r>
      <w:r w:rsidR="00D10B3C" w:rsidRPr="006C02F0">
        <w:rPr>
          <w:rFonts w:ascii="Times New Roman" w:hAnsi="Times New Roman" w:cs="Times New Roman"/>
          <w:color w:val="auto"/>
          <w:lang w:val="bg-BG"/>
        </w:rPr>
        <w:t>рган може, например, да участва</w:t>
      </w:r>
      <w:r w:rsidRPr="006C02F0">
        <w:rPr>
          <w:rFonts w:ascii="Times New Roman" w:hAnsi="Times New Roman" w:cs="Times New Roman"/>
          <w:color w:val="auto"/>
          <w:lang w:val="bg-BG"/>
        </w:rPr>
        <w:t xml:space="preserve"> като инвеститор, също </w:t>
      </w:r>
      <w:r w:rsidR="00D10B3C" w:rsidRPr="006C02F0">
        <w:rPr>
          <w:rFonts w:ascii="Times New Roman" w:hAnsi="Times New Roman" w:cs="Times New Roman"/>
          <w:color w:val="auto"/>
          <w:lang w:val="bg-BG"/>
        </w:rPr>
        <w:t>заедно с</w:t>
      </w:r>
      <w:r w:rsidRPr="006C02F0">
        <w:rPr>
          <w:rFonts w:ascii="Times New Roman" w:hAnsi="Times New Roman" w:cs="Times New Roman"/>
          <w:color w:val="auto"/>
          <w:lang w:val="bg-BG"/>
        </w:rPr>
        <w:t xml:space="preserve"> частен оператор, </w:t>
      </w:r>
      <w:r w:rsidR="00D10B3C" w:rsidRPr="006C02F0">
        <w:rPr>
          <w:rFonts w:ascii="Times New Roman" w:hAnsi="Times New Roman" w:cs="Times New Roman"/>
          <w:color w:val="auto"/>
          <w:lang w:val="bg-BG"/>
        </w:rPr>
        <w:t>в</w:t>
      </w:r>
      <w:r w:rsidRPr="006C02F0">
        <w:rPr>
          <w:rFonts w:ascii="Times New Roman" w:hAnsi="Times New Roman" w:cs="Times New Roman"/>
          <w:color w:val="auto"/>
          <w:lang w:val="bg-BG"/>
        </w:rPr>
        <w:t xml:space="preserve"> създаването на </w:t>
      </w:r>
      <w:r w:rsidR="00D10B3C" w:rsidRPr="006C02F0">
        <w:rPr>
          <w:rFonts w:ascii="Times New Roman" w:hAnsi="Times New Roman" w:cs="Times New Roman"/>
          <w:color w:val="auto"/>
          <w:lang w:val="bg-BG"/>
        </w:rPr>
        <w:t xml:space="preserve">платформа за резервиране за </w:t>
      </w:r>
      <w:r w:rsidRPr="006C02F0">
        <w:rPr>
          <w:rFonts w:ascii="Times New Roman" w:hAnsi="Times New Roman" w:cs="Times New Roman"/>
          <w:color w:val="auto"/>
          <w:lang w:val="bg-BG"/>
        </w:rPr>
        <w:t>настаняване или почивка</w:t>
      </w:r>
      <w:r w:rsidR="00D10B3C" w:rsidRPr="006C02F0">
        <w:rPr>
          <w:rFonts w:ascii="Times New Roman" w:hAnsi="Times New Roman" w:cs="Times New Roman"/>
          <w:color w:val="auto"/>
          <w:lang w:val="bg-BG"/>
        </w:rPr>
        <w:t>, управлявана стопански</w:t>
      </w:r>
      <w:r w:rsidRPr="006C02F0">
        <w:rPr>
          <w:rFonts w:ascii="Times New Roman" w:hAnsi="Times New Roman" w:cs="Times New Roman"/>
          <w:color w:val="auto"/>
          <w:lang w:val="bg-BG"/>
        </w:rPr>
        <w:t>.</w:t>
      </w:r>
    </w:p>
    <w:p w:rsidR="00EC7D81" w:rsidRPr="006C02F0" w:rsidRDefault="00D8089D">
      <w:pPr>
        <w:pStyle w:val="Heading12"/>
        <w:keepNext/>
        <w:keepLines/>
        <w:spacing w:after="120" w:line="307" w:lineRule="exact"/>
        <w:ind w:firstLine="0"/>
        <w:rPr>
          <w:rFonts w:ascii="Times New Roman" w:hAnsi="Times New Roman" w:cs="Times New Roman"/>
          <w:color w:val="auto"/>
          <w:lang w:val="bg-BG" w:eastAsia="sv-SE" w:bidi="sv-SE"/>
        </w:rPr>
      </w:pPr>
      <w:r w:rsidRPr="006C02F0">
        <w:rPr>
          <w:rFonts w:ascii="Times New Roman" w:hAnsi="Times New Roman" w:cs="Times New Roman"/>
          <w:color w:val="auto"/>
          <w:lang w:val="bg-BG"/>
        </w:rPr>
        <w:t xml:space="preserve">5. </w:t>
      </w:r>
      <w:r w:rsidR="00D10B3C" w:rsidRPr="006C02F0">
        <w:rPr>
          <w:rFonts w:ascii="Times New Roman" w:hAnsi="Times New Roman" w:cs="Times New Roman"/>
          <w:color w:val="auto"/>
          <w:lang w:val="bg-BG"/>
        </w:rPr>
        <w:t>Липса на</w:t>
      </w:r>
      <w:r w:rsidRPr="006C02F0">
        <w:rPr>
          <w:rFonts w:ascii="Times New Roman" w:hAnsi="Times New Roman" w:cs="Times New Roman"/>
          <w:color w:val="auto"/>
          <w:lang w:val="bg-BG"/>
        </w:rPr>
        <w:t xml:space="preserve"> предимст</w:t>
      </w:r>
      <w:r w:rsidR="00D10B3C" w:rsidRPr="006C02F0">
        <w:rPr>
          <w:rFonts w:ascii="Times New Roman" w:hAnsi="Times New Roman" w:cs="Times New Roman"/>
          <w:color w:val="auto"/>
          <w:lang w:val="bg-BG"/>
        </w:rPr>
        <w:t>во</w:t>
      </w:r>
      <w:r w:rsidRPr="006C02F0">
        <w:rPr>
          <w:rFonts w:ascii="Times New Roman" w:hAnsi="Times New Roman" w:cs="Times New Roman"/>
          <w:color w:val="auto"/>
          <w:lang w:val="bg-BG"/>
        </w:rPr>
        <w:t>: възлагане на услуга от общ икономически интерес (УОИИ) в съответствие с критериите по делото Altmark</w:t>
      </w:r>
      <w:bookmarkStart w:id="6" w:name="bookmark7"/>
      <w:bookmarkEnd w:id="6"/>
      <w:r w:rsidRPr="006C02F0">
        <w:rPr>
          <w:rStyle w:val="FootnoteAnchor"/>
          <w:rFonts w:ascii="Times New Roman" w:hAnsi="Times New Roman" w:cs="Times New Roman"/>
          <w:color w:val="auto"/>
          <w:lang w:val="bg-BG" w:eastAsia="sv-SE" w:bidi="sv-SE"/>
        </w:rPr>
        <w:footnoteReference w:id="6"/>
      </w:r>
    </w:p>
    <w:p w:rsidR="00EC7D81" w:rsidRPr="006C02F0" w:rsidRDefault="00D8089D">
      <w:pPr>
        <w:pStyle w:val="Bodytext21"/>
        <w:numPr>
          <w:ilvl w:val="0"/>
          <w:numId w:val="1"/>
        </w:numPr>
        <w:tabs>
          <w:tab w:val="left" w:pos="385"/>
          <w:tab w:val="left" w:pos="1790"/>
          <w:tab w:val="left" w:pos="3065"/>
          <w:tab w:val="left" w:pos="4243"/>
          <w:tab w:val="left" w:pos="5458"/>
          <w:tab w:val="left" w:pos="7330"/>
          <w:tab w:val="left" w:pos="8520"/>
        </w:tabs>
        <w:spacing w:before="0" w:after="287"/>
        <w:ind w:left="400"/>
        <w:rPr>
          <w:rFonts w:ascii="Times New Roman" w:hAnsi="Times New Roman" w:cs="Times New Roman"/>
          <w:color w:val="auto"/>
          <w:lang w:val="bg-BG"/>
        </w:rPr>
      </w:pPr>
      <w:r w:rsidRPr="006C02F0">
        <w:rPr>
          <w:rFonts w:ascii="Times New Roman" w:hAnsi="Times New Roman" w:cs="Times New Roman"/>
          <w:color w:val="auto"/>
          <w:lang w:val="bg-BG"/>
        </w:rPr>
        <w:t>Наличието на икономическо предимство е изключено, ако: (I) туристически</w:t>
      </w:r>
      <w:r w:rsidR="00D10B3C" w:rsidRPr="006C02F0">
        <w:rPr>
          <w:rFonts w:ascii="Times New Roman" w:hAnsi="Times New Roman" w:cs="Times New Roman"/>
          <w:color w:val="auto"/>
          <w:lang w:val="bg-BG"/>
        </w:rPr>
        <w:t xml:space="preserve">те услуги </w:t>
      </w:r>
      <w:r w:rsidRPr="006C02F0">
        <w:rPr>
          <w:rFonts w:ascii="Times New Roman" w:hAnsi="Times New Roman" w:cs="Times New Roman"/>
          <w:color w:val="auto"/>
          <w:lang w:val="bg-BG"/>
        </w:rPr>
        <w:t>може да се разглежда</w:t>
      </w:r>
      <w:r w:rsidR="00D10B3C" w:rsidRPr="006C02F0">
        <w:rPr>
          <w:rFonts w:ascii="Times New Roman" w:hAnsi="Times New Roman" w:cs="Times New Roman"/>
          <w:color w:val="auto"/>
          <w:lang w:val="bg-BG"/>
        </w:rPr>
        <w:t>т</w:t>
      </w:r>
      <w:r w:rsidRPr="006C02F0">
        <w:rPr>
          <w:rFonts w:ascii="Times New Roman" w:hAnsi="Times New Roman" w:cs="Times New Roman"/>
          <w:color w:val="auto"/>
          <w:lang w:val="bg-BG"/>
        </w:rPr>
        <w:t xml:space="preserve"> като действителна услуга от общ икономически интерес (УОИИ), за ко</w:t>
      </w:r>
      <w:r w:rsidR="00D10B3C" w:rsidRPr="006C02F0">
        <w:rPr>
          <w:rFonts w:ascii="Times New Roman" w:hAnsi="Times New Roman" w:cs="Times New Roman"/>
          <w:color w:val="auto"/>
          <w:lang w:val="bg-BG"/>
        </w:rPr>
        <w:t>я</w:t>
      </w:r>
      <w:r w:rsidRPr="006C02F0">
        <w:rPr>
          <w:rFonts w:ascii="Times New Roman" w:hAnsi="Times New Roman" w:cs="Times New Roman"/>
          <w:color w:val="auto"/>
          <w:lang w:val="bg-BG"/>
        </w:rPr>
        <w:t xml:space="preserve">то задълженията за обществена услуга са ясно определени; (II) параметрите на компенсацията са били предварително определени по обективен и прозрачен начин; (III) платената компенсация не надвишава нетните разходи за предоставянето на обществената услуга плюс разумна печалба; и (iv) УОИИ е възложена или чрез процедура за възлагане на обществени поръчки, която гарантира предоставянето на услугата при най-ниски разходи за обществото, или компенсацията не надвишава това, което едно ефективно предприятие би поискало. Публичното финансиране, за предоставянето на УОИИ, </w:t>
      </w:r>
      <w:r w:rsidR="00D10B3C" w:rsidRPr="006C02F0">
        <w:rPr>
          <w:rFonts w:ascii="Times New Roman" w:hAnsi="Times New Roman" w:cs="Times New Roman"/>
          <w:color w:val="auto"/>
          <w:lang w:val="bg-BG"/>
        </w:rPr>
        <w:t xml:space="preserve">което </w:t>
      </w:r>
      <w:r w:rsidRPr="006C02F0">
        <w:rPr>
          <w:rFonts w:ascii="Times New Roman" w:hAnsi="Times New Roman" w:cs="Times New Roman"/>
          <w:color w:val="auto"/>
          <w:lang w:val="bg-BG"/>
        </w:rPr>
        <w:t>не надвишава 500 000 EUR за период от три години, не се счита за държавна помощ, при условие че другите условия от Регламента de minimis за УОИИ също са изпълнени.</w:t>
      </w:r>
      <w:r w:rsidRPr="006C02F0">
        <w:rPr>
          <w:rStyle w:val="FootnoteAnchor"/>
          <w:rFonts w:ascii="Times New Roman" w:hAnsi="Times New Roman" w:cs="Times New Roman"/>
          <w:color w:val="auto"/>
          <w:lang w:val="bg-BG"/>
        </w:rPr>
        <w:footnoteReference w:id="7"/>
      </w:r>
    </w:p>
    <w:p w:rsidR="00EC7D81" w:rsidRPr="006C02F0" w:rsidRDefault="00D8089D">
      <w:pPr>
        <w:pStyle w:val="Bodytext21"/>
        <w:numPr>
          <w:ilvl w:val="0"/>
          <w:numId w:val="1"/>
        </w:numPr>
        <w:tabs>
          <w:tab w:val="left" w:pos="385"/>
          <w:tab w:val="left" w:pos="1790"/>
          <w:tab w:val="left" w:pos="3065"/>
          <w:tab w:val="left" w:pos="4243"/>
          <w:tab w:val="left" w:pos="5458"/>
          <w:tab w:val="left" w:pos="7330"/>
          <w:tab w:val="left" w:pos="8520"/>
        </w:tabs>
        <w:spacing w:before="0" w:after="287"/>
        <w:ind w:left="400"/>
        <w:rPr>
          <w:rFonts w:ascii="Times New Roman" w:hAnsi="Times New Roman" w:cs="Times New Roman"/>
          <w:color w:val="auto"/>
          <w:lang w:val="bg-BG"/>
        </w:rPr>
      </w:pPr>
      <w:r w:rsidRPr="006C02F0">
        <w:rPr>
          <w:rFonts w:ascii="Times New Roman" w:hAnsi="Times New Roman" w:cs="Times New Roman"/>
          <w:color w:val="auto"/>
          <w:lang w:val="bg-BG"/>
        </w:rPr>
        <w:t>Държавите членки разполагат с голяма свобода да определят УОИИ и Комисията само проверява дали е налице очевидна грешка в определението. Въпреки това</w:t>
      </w:r>
      <w:r w:rsidR="00F31B3F" w:rsidRPr="006C02F0">
        <w:rPr>
          <w:rFonts w:ascii="Times New Roman" w:hAnsi="Times New Roman" w:cs="Times New Roman"/>
          <w:color w:val="auto"/>
          <w:lang w:val="bg-BG"/>
        </w:rPr>
        <w:t>,</w:t>
      </w:r>
      <w:r w:rsidRPr="006C02F0">
        <w:rPr>
          <w:rFonts w:ascii="Times New Roman" w:hAnsi="Times New Roman" w:cs="Times New Roman"/>
          <w:color w:val="auto"/>
          <w:lang w:val="bg-BG"/>
        </w:rPr>
        <w:t xml:space="preserve"> такава явна грешка е налице, когато дадена услуга е определена като УОИИ, които или i) не е насочено към гражданите, или в интерес на обществото като цяло или ii) когато дейността вече се предоставя или може да бъде предоставена от пазара при същите условия.</w:t>
      </w:r>
      <w:r w:rsidRPr="006C02F0">
        <w:rPr>
          <w:rStyle w:val="FootnoteAnchor"/>
          <w:rFonts w:ascii="Times New Roman" w:hAnsi="Times New Roman" w:cs="Times New Roman"/>
          <w:color w:val="auto"/>
          <w:lang w:val="bg-BG"/>
        </w:rPr>
        <w:footnoteReference w:id="8"/>
      </w:r>
    </w:p>
    <w:p w:rsidR="00EC7D81" w:rsidRPr="006C02F0" w:rsidRDefault="00D8089D">
      <w:pPr>
        <w:pStyle w:val="Bodytext21"/>
        <w:numPr>
          <w:ilvl w:val="0"/>
          <w:numId w:val="1"/>
        </w:numPr>
        <w:tabs>
          <w:tab w:val="left" w:pos="385"/>
          <w:tab w:val="left" w:pos="1790"/>
          <w:tab w:val="left" w:pos="3065"/>
          <w:tab w:val="left" w:pos="4243"/>
          <w:tab w:val="left" w:pos="5458"/>
          <w:tab w:val="left" w:pos="7330"/>
          <w:tab w:val="left" w:pos="8520"/>
        </w:tabs>
        <w:spacing w:before="0" w:after="287"/>
        <w:ind w:left="400"/>
        <w:rPr>
          <w:rFonts w:ascii="Times New Roman" w:hAnsi="Times New Roman" w:cs="Times New Roman"/>
          <w:color w:val="auto"/>
          <w:lang w:val="bg-BG"/>
        </w:rPr>
      </w:pPr>
      <w:r w:rsidRPr="006C02F0">
        <w:rPr>
          <w:rFonts w:ascii="Times New Roman" w:hAnsi="Times New Roman" w:cs="Times New Roman"/>
          <w:color w:val="auto"/>
          <w:lang w:val="bg-BG"/>
        </w:rPr>
        <w:t>Като се има предвид, че много дейности са предоставени от пазара и че някои дейности, финансирани от държавата насърчава</w:t>
      </w:r>
      <w:r w:rsidR="00F31B3F" w:rsidRPr="006C02F0">
        <w:rPr>
          <w:rFonts w:ascii="Times New Roman" w:hAnsi="Times New Roman" w:cs="Times New Roman"/>
          <w:color w:val="auto"/>
          <w:lang w:val="bg-BG"/>
        </w:rPr>
        <w:t>т</w:t>
      </w:r>
      <w:r w:rsidRPr="006C02F0">
        <w:rPr>
          <w:rFonts w:ascii="Times New Roman" w:hAnsi="Times New Roman" w:cs="Times New Roman"/>
          <w:color w:val="auto"/>
          <w:lang w:val="bg-BG"/>
        </w:rPr>
        <w:t xml:space="preserve"> туристическия сектор и не са пряко насочени към гражданите, изглежда, че УОИИ може да бъде определен</w:t>
      </w:r>
      <w:r w:rsidR="00F31B3F" w:rsidRPr="006C02F0">
        <w:rPr>
          <w:rFonts w:ascii="Times New Roman" w:hAnsi="Times New Roman" w:cs="Times New Roman"/>
          <w:color w:val="auto"/>
          <w:lang w:val="bg-BG"/>
        </w:rPr>
        <w:t>а</w:t>
      </w:r>
      <w:r w:rsidRPr="006C02F0">
        <w:rPr>
          <w:rFonts w:ascii="Times New Roman" w:hAnsi="Times New Roman" w:cs="Times New Roman"/>
          <w:color w:val="auto"/>
          <w:lang w:val="bg-BG"/>
        </w:rPr>
        <w:t xml:space="preserve"> само при много специфични обстоятелства, по-специално тези с предимно социален характер. Тук може да бъде приведен пример за подкрепа </w:t>
      </w:r>
      <w:r w:rsidR="00F31B3F" w:rsidRPr="006C02F0">
        <w:rPr>
          <w:rFonts w:ascii="Times New Roman" w:hAnsi="Times New Roman" w:cs="Times New Roman"/>
          <w:color w:val="auto"/>
          <w:lang w:val="bg-BG"/>
        </w:rPr>
        <w:t xml:space="preserve">на местата за настаняване за </w:t>
      </w:r>
      <w:r w:rsidRPr="006C02F0">
        <w:rPr>
          <w:rFonts w:ascii="Times New Roman" w:hAnsi="Times New Roman" w:cs="Times New Roman"/>
          <w:color w:val="auto"/>
          <w:lang w:val="bg-BG"/>
        </w:rPr>
        <w:t>семействата с ниски доходи</w:t>
      </w:r>
      <w:r w:rsidR="00F31B3F" w:rsidRPr="006C02F0">
        <w:rPr>
          <w:rFonts w:ascii="Times New Roman" w:hAnsi="Times New Roman" w:cs="Times New Roman"/>
          <w:color w:val="auto"/>
          <w:lang w:val="bg-BG"/>
        </w:rPr>
        <w:t xml:space="preserve">. </w:t>
      </w:r>
      <w:r w:rsidRPr="006C02F0">
        <w:rPr>
          <w:rFonts w:ascii="Times New Roman" w:hAnsi="Times New Roman" w:cs="Times New Roman"/>
          <w:color w:val="auto"/>
          <w:lang w:val="bg-BG"/>
        </w:rPr>
        <w:t xml:space="preserve">В такива случаи държавите членки следва ясно и достатъчно </w:t>
      </w:r>
      <w:r w:rsidR="00F31B3F" w:rsidRPr="006C02F0">
        <w:rPr>
          <w:rFonts w:ascii="Times New Roman" w:hAnsi="Times New Roman" w:cs="Times New Roman"/>
          <w:color w:val="auto"/>
          <w:lang w:val="bg-BG"/>
        </w:rPr>
        <w:t xml:space="preserve">да разграничат </w:t>
      </w:r>
      <w:r w:rsidRPr="006C02F0">
        <w:rPr>
          <w:rFonts w:ascii="Times New Roman" w:hAnsi="Times New Roman" w:cs="Times New Roman"/>
          <w:color w:val="auto"/>
          <w:lang w:val="bg-BG"/>
        </w:rPr>
        <w:t>услуга</w:t>
      </w:r>
      <w:r w:rsidR="00F31B3F" w:rsidRPr="006C02F0">
        <w:rPr>
          <w:rFonts w:ascii="Times New Roman" w:hAnsi="Times New Roman" w:cs="Times New Roman"/>
          <w:color w:val="auto"/>
          <w:lang w:val="bg-BG"/>
        </w:rPr>
        <w:t>та</w:t>
      </w:r>
      <w:r w:rsidRPr="006C02F0">
        <w:rPr>
          <w:rFonts w:ascii="Times New Roman" w:hAnsi="Times New Roman" w:cs="Times New Roman"/>
          <w:color w:val="auto"/>
          <w:lang w:val="bg-BG"/>
        </w:rPr>
        <w:t xml:space="preserve"> от услугите, предлагани от пазара.</w:t>
      </w:r>
      <w:r w:rsidR="00F31B3F" w:rsidRPr="006C02F0">
        <w:rPr>
          <w:rFonts w:ascii="Times New Roman" w:hAnsi="Times New Roman" w:cs="Times New Roman"/>
          <w:color w:val="auto"/>
          <w:lang w:val="bg-BG"/>
        </w:rPr>
        <w:t xml:space="preserve"> </w:t>
      </w:r>
    </w:p>
    <w:p w:rsidR="00EC7D81" w:rsidRPr="006C02F0" w:rsidRDefault="00D8089D">
      <w:pPr>
        <w:pStyle w:val="Heading12"/>
        <w:keepNext/>
        <w:keepLines/>
        <w:spacing w:after="120"/>
        <w:ind w:firstLine="0"/>
        <w:rPr>
          <w:rStyle w:val="Heading11"/>
          <w:rFonts w:ascii="Times New Roman" w:hAnsi="Times New Roman" w:cs="Times New Roman"/>
          <w:b/>
          <w:bCs/>
          <w:color w:val="auto"/>
          <w:lang w:val="bg-BG"/>
        </w:rPr>
      </w:pPr>
      <w:bookmarkStart w:id="7" w:name="bookmark9"/>
      <w:bookmarkStart w:id="8" w:name="bookmark10"/>
      <w:bookmarkEnd w:id="7"/>
      <w:bookmarkEnd w:id="8"/>
      <w:r w:rsidRPr="006C02F0">
        <w:rPr>
          <w:rFonts w:ascii="Times New Roman" w:hAnsi="Times New Roman" w:cs="Times New Roman"/>
          <w:color w:val="auto"/>
          <w:u w:val="single"/>
          <w:lang w:val="bg-BG"/>
        </w:rPr>
        <w:t xml:space="preserve">III. Случаи, в които не е необходимо уведомление </w:t>
      </w:r>
      <w:r w:rsidR="007D6254" w:rsidRPr="006C02F0">
        <w:rPr>
          <w:rFonts w:ascii="Times New Roman" w:hAnsi="Times New Roman" w:cs="Times New Roman"/>
          <w:color w:val="auto"/>
          <w:u w:val="single"/>
          <w:lang w:val="bg-BG"/>
        </w:rPr>
        <w:t>за</w:t>
      </w:r>
      <w:r w:rsidRPr="006C02F0">
        <w:rPr>
          <w:rFonts w:ascii="Times New Roman" w:hAnsi="Times New Roman" w:cs="Times New Roman"/>
          <w:color w:val="auto"/>
          <w:u w:val="single"/>
          <w:lang w:val="bg-BG"/>
        </w:rPr>
        <w:t xml:space="preserve"> държавната помощ, но могат да се прилагат други изисквания</w:t>
      </w:r>
    </w:p>
    <w:p w:rsidR="00EC7D81" w:rsidRPr="006C02F0" w:rsidRDefault="00D8089D">
      <w:pPr>
        <w:pStyle w:val="Bodytext21"/>
        <w:numPr>
          <w:ilvl w:val="0"/>
          <w:numId w:val="1"/>
        </w:numPr>
        <w:tabs>
          <w:tab w:val="left" w:pos="385"/>
        </w:tabs>
        <w:spacing w:before="0" w:after="287"/>
        <w:ind w:left="400"/>
        <w:rPr>
          <w:rFonts w:ascii="Times New Roman" w:hAnsi="Times New Roman" w:cs="Times New Roman"/>
          <w:color w:val="auto"/>
          <w:lang w:val="bg-BG"/>
        </w:rPr>
      </w:pPr>
      <w:r w:rsidRPr="006C02F0">
        <w:rPr>
          <w:rFonts w:ascii="Times New Roman" w:hAnsi="Times New Roman" w:cs="Times New Roman"/>
          <w:color w:val="auto"/>
          <w:lang w:val="bg-BG"/>
        </w:rPr>
        <w:t>Евентуална държавна помощ за туристически дейности и туристическа инфраструктура, може да се счита за съвместима с вътрешния пазар, и може да бъде предоставена без уведомление в следните случаи.</w:t>
      </w:r>
      <w:r w:rsidR="00F31B3F" w:rsidRPr="006C02F0">
        <w:rPr>
          <w:rFonts w:ascii="Times New Roman" w:hAnsi="Times New Roman" w:cs="Times New Roman"/>
          <w:color w:val="auto"/>
          <w:lang w:val="bg-BG"/>
        </w:rPr>
        <w:t xml:space="preserve"> </w:t>
      </w:r>
    </w:p>
    <w:p w:rsidR="00EC7D81" w:rsidRPr="006C02F0" w:rsidRDefault="00D8089D">
      <w:pPr>
        <w:pStyle w:val="Bodytext21"/>
        <w:numPr>
          <w:ilvl w:val="0"/>
          <w:numId w:val="1"/>
        </w:numPr>
        <w:tabs>
          <w:tab w:val="left" w:pos="390"/>
        </w:tabs>
        <w:spacing w:before="0" w:after="287"/>
        <w:ind w:left="400"/>
        <w:rPr>
          <w:rFonts w:ascii="Times New Roman" w:hAnsi="Times New Roman" w:cs="Times New Roman"/>
          <w:color w:val="auto"/>
          <w:lang w:val="bg-BG"/>
        </w:rPr>
      </w:pPr>
      <w:r w:rsidRPr="006C02F0">
        <w:rPr>
          <w:rFonts w:ascii="Times New Roman" w:hAnsi="Times New Roman" w:cs="Times New Roman"/>
          <w:color w:val="auto"/>
          <w:lang w:val="bg-BG"/>
        </w:rPr>
        <w:lastRenderedPageBreak/>
        <w:t>Мярката може да бъде освободена от задължението за уведомяване, ако е предоставена в съответствие с условията на ОРГО (включително общите разпоредби в глава I).</w:t>
      </w:r>
      <w:r w:rsidRPr="006C02F0">
        <w:rPr>
          <w:rStyle w:val="FootnoteAnchor"/>
          <w:rFonts w:ascii="Times New Roman" w:hAnsi="Times New Roman" w:cs="Times New Roman"/>
          <w:color w:val="auto"/>
          <w:lang w:val="bg-BG"/>
        </w:rPr>
        <w:footnoteReference w:id="9"/>
      </w:r>
      <w:r w:rsidRPr="006C02F0">
        <w:rPr>
          <w:rFonts w:ascii="Times New Roman" w:hAnsi="Times New Roman" w:cs="Times New Roman"/>
          <w:color w:val="auto"/>
          <w:lang w:val="bg-BG"/>
        </w:rPr>
        <w:t xml:space="preserve"> </w:t>
      </w:r>
      <w:r w:rsidR="007D6254" w:rsidRPr="006C02F0">
        <w:rPr>
          <w:rFonts w:ascii="Times New Roman" w:hAnsi="Times New Roman" w:cs="Times New Roman"/>
          <w:color w:val="auto"/>
          <w:lang w:val="bg-BG"/>
        </w:rPr>
        <w:t>С</w:t>
      </w:r>
      <w:r w:rsidRPr="006C02F0">
        <w:rPr>
          <w:rFonts w:ascii="Times New Roman" w:hAnsi="Times New Roman" w:cs="Times New Roman"/>
          <w:color w:val="auto"/>
          <w:lang w:val="bg-BG"/>
        </w:rPr>
        <w:t>ледните членове от ОРГО, могат да бъдат подходящи по отношение на туризма.</w:t>
      </w:r>
    </w:p>
    <w:p w:rsidR="00EC7D81" w:rsidRPr="006C02F0" w:rsidRDefault="00D8089D">
      <w:pPr>
        <w:pStyle w:val="Bodytext21"/>
        <w:numPr>
          <w:ilvl w:val="0"/>
          <w:numId w:val="1"/>
        </w:numPr>
        <w:tabs>
          <w:tab w:val="left" w:pos="390"/>
        </w:tabs>
        <w:spacing w:before="0" w:after="287"/>
        <w:ind w:left="400"/>
        <w:rPr>
          <w:rFonts w:ascii="Times New Roman" w:hAnsi="Times New Roman" w:cs="Times New Roman"/>
          <w:color w:val="auto"/>
          <w:lang w:val="bg-BG"/>
        </w:rPr>
      </w:pPr>
      <w:r w:rsidRPr="006C02F0">
        <w:rPr>
          <w:rStyle w:val="Bodytext2Bold"/>
          <w:rFonts w:ascii="Times New Roman" w:hAnsi="Times New Roman" w:cs="Times New Roman"/>
          <w:color w:val="auto"/>
          <w:lang w:val="bg-BG"/>
        </w:rPr>
        <w:t>Член 56 от ОРГО, ко</w:t>
      </w:r>
      <w:r w:rsidR="007D6254" w:rsidRPr="006C02F0">
        <w:rPr>
          <w:rStyle w:val="Bodytext2Bold"/>
          <w:rFonts w:ascii="Times New Roman" w:hAnsi="Times New Roman" w:cs="Times New Roman"/>
          <w:color w:val="auto"/>
          <w:lang w:val="bg-BG"/>
        </w:rPr>
        <w:t>й</w:t>
      </w:r>
      <w:r w:rsidRPr="006C02F0">
        <w:rPr>
          <w:rStyle w:val="Bodytext2Bold"/>
          <w:rFonts w:ascii="Times New Roman" w:hAnsi="Times New Roman" w:cs="Times New Roman"/>
          <w:color w:val="auto"/>
          <w:lang w:val="bg-BG"/>
        </w:rPr>
        <w:t>то позволява инвестиционн</w:t>
      </w:r>
      <w:r w:rsidR="007D6254" w:rsidRPr="006C02F0">
        <w:rPr>
          <w:rStyle w:val="Bodytext2Bold"/>
          <w:rFonts w:ascii="Times New Roman" w:hAnsi="Times New Roman" w:cs="Times New Roman"/>
          <w:color w:val="auto"/>
          <w:lang w:val="bg-BG"/>
        </w:rPr>
        <w:t>а помощ</w:t>
      </w:r>
      <w:r w:rsidRPr="006C02F0">
        <w:rPr>
          <w:rStyle w:val="Bodytext2Bold"/>
          <w:rFonts w:ascii="Times New Roman" w:hAnsi="Times New Roman" w:cs="Times New Roman"/>
          <w:color w:val="auto"/>
          <w:lang w:val="bg-BG"/>
        </w:rPr>
        <w:t xml:space="preserve"> за местни инфраструктури до 10 млн. EUR на проект, мо</w:t>
      </w:r>
      <w:r w:rsidR="007D6254" w:rsidRPr="006C02F0">
        <w:rPr>
          <w:rStyle w:val="Bodytext2Bold"/>
          <w:rFonts w:ascii="Times New Roman" w:hAnsi="Times New Roman" w:cs="Times New Roman"/>
          <w:color w:val="auto"/>
          <w:lang w:val="bg-BG"/>
        </w:rPr>
        <w:t>же</w:t>
      </w:r>
      <w:r w:rsidRPr="006C02F0">
        <w:rPr>
          <w:rStyle w:val="Bodytext2Bold"/>
          <w:rFonts w:ascii="Times New Roman" w:hAnsi="Times New Roman" w:cs="Times New Roman"/>
          <w:color w:val="auto"/>
          <w:lang w:val="bg-BG"/>
        </w:rPr>
        <w:t>т да се прилага.</w:t>
      </w:r>
    </w:p>
    <w:p w:rsidR="00EC7D81" w:rsidRPr="006C02F0" w:rsidRDefault="00D8089D">
      <w:pPr>
        <w:pStyle w:val="Bodytext21"/>
        <w:numPr>
          <w:ilvl w:val="0"/>
          <w:numId w:val="1"/>
        </w:numPr>
        <w:tabs>
          <w:tab w:val="left" w:pos="390"/>
        </w:tabs>
        <w:spacing w:before="0" w:after="287"/>
        <w:ind w:left="400"/>
        <w:rPr>
          <w:rFonts w:ascii="Times New Roman" w:hAnsi="Times New Roman" w:cs="Times New Roman"/>
          <w:color w:val="auto"/>
          <w:lang w:val="bg-BG"/>
        </w:rPr>
      </w:pPr>
      <w:r w:rsidRPr="006C02F0">
        <w:rPr>
          <w:rStyle w:val="Bodytext2Bold"/>
          <w:rFonts w:ascii="Times New Roman" w:hAnsi="Times New Roman" w:cs="Times New Roman"/>
          <w:b w:val="0"/>
          <w:color w:val="auto"/>
          <w:lang w:val="bg-BG"/>
        </w:rPr>
        <w:t>ГД „Конкуренция“ предостави на</w:t>
      </w:r>
      <w:r w:rsidR="007D6254" w:rsidRPr="006C02F0">
        <w:rPr>
          <w:rStyle w:val="Bodytext2Bold"/>
          <w:rFonts w:ascii="Times New Roman" w:hAnsi="Times New Roman" w:cs="Times New Roman"/>
          <w:b w:val="0"/>
          <w:color w:val="auto"/>
          <w:lang w:val="bg-BG"/>
        </w:rPr>
        <w:t>соки относно член 56 от ОРГО в Ч</w:t>
      </w:r>
      <w:r w:rsidRPr="006C02F0">
        <w:rPr>
          <w:rStyle w:val="Bodytext2Bold"/>
          <w:rFonts w:ascii="Times New Roman" w:hAnsi="Times New Roman" w:cs="Times New Roman"/>
          <w:b w:val="0"/>
          <w:color w:val="auto"/>
          <w:lang w:val="bg-BG"/>
        </w:rPr>
        <w:t>есто задаваните въпроси и в eState</w:t>
      </w:r>
      <w:r w:rsidR="007D6254" w:rsidRPr="006C02F0">
        <w:rPr>
          <w:rStyle w:val="Bodytext2Bold"/>
          <w:rFonts w:ascii="Times New Roman" w:hAnsi="Times New Roman" w:cs="Times New Roman"/>
          <w:b w:val="0"/>
          <w:color w:val="auto"/>
          <w:lang w:val="bg-BG"/>
        </w:rPr>
        <w:t xml:space="preserve"> aid WIKI</w:t>
      </w:r>
      <w:r w:rsidRPr="006C02F0">
        <w:rPr>
          <w:rStyle w:val="FootnoteAnchor"/>
          <w:rFonts w:ascii="Times New Roman" w:hAnsi="Times New Roman" w:cs="Times New Roman"/>
          <w:color w:val="auto"/>
          <w:lang w:val="bg-BG"/>
        </w:rPr>
        <w:footnoteReference w:id="10"/>
      </w:r>
      <w:r w:rsidR="007D6254" w:rsidRPr="006C02F0">
        <w:rPr>
          <w:rStyle w:val="Bodytext2Bold"/>
          <w:rFonts w:ascii="Times New Roman" w:hAnsi="Times New Roman" w:cs="Times New Roman"/>
          <w:b w:val="0"/>
          <w:color w:val="auto"/>
          <w:lang w:val="bg-BG"/>
        </w:rPr>
        <w:t xml:space="preserve">. Тези насоки </w:t>
      </w:r>
      <w:r w:rsidRPr="006C02F0">
        <w:rPr>
          <w:rStyle w:val="Bodytext2Bold"/>
          <w:rFonts w:ascii="Times New Roman" w:hAnsi="Times New Roman" w:cs="Times New Roman"/>
          <w:b w:val="0"/>
          <w:color w:val="auto"/>
          <w:lang w:val="bg-BG"/>
        </w:rPr>
        <w:t>потвърждава</w:t>
      </w:r>
      <w:r w:rsidR="007D6254" w:rsidRPr="006C02F0">
        <w:rPr>
          <w:rStyle w:val="Bodytext2Bold"/>
          <w:rFonts w:ascii="Times New Roman" w:hAnsi="Times New Roman" w:cs="Times New Roman"/>
          <w:b w:val="0"/>
          <w:color w:val="auto"/>
          <w:lang w:val="bg-BG"/>
        </w:rPr>
        <w:t>т</w:t>
      </w:r>
      <w:r w:rsidRPr="006C02F0">
        <w:rPr>
          <w:rStyle w:val="Bodytext2Bold"/>
          <w:rFonts w:ascii="Times New Roman" w:hAnsi="Times New Roman" w:cs="Times New Roman"/>
          <w:b w:val="0"/>
          <w:color w:val="auto"/>
          <w:lang w:val="bg-BG"/>
        </w:rPr>
        <w:t>, че този член има широк обхват и мног</w:t>
      </w:r>
      <w:r w:rsidR="007D6254" w:rsidRPr="006C02F0">
        <w:rPr>
          <w:rStyle w:val="Bodytext2Bold"/>
          <w:rFonts w:ascii="Times New Roman" w:hAnsi="Times New Roman" w:cs="Times New Roman"/>
          <w:b w:val="0"/>
          <w:color w:val="auto"/>
          <w:lang w:val="bg-BG"/>
        </w:rPr>
        <w:t xml:space="preserve">о различни постоянни структури </w:t>
      </w:r>
      <w:r w:rsidRPr="006C02F0">
        <w:rPr>
          <w:rStyle w:val="Bodytext2Bold"/>
          <w:rFonts w:ascii="Times New Roman" w:hAnsi="Times New Roman" w:cs="Times New Roman"/>
          <w:b w:val="0"/>
          <w:color w:val="auto"/>
          <w:lang w:val="bg-BG"/>
        </w:rPr>
        <w:t>могат да бъдат финансирани по член 56 от ОРГО, включително хотел</w:t>
      </w:r>
      <w:r w:rsidR="007D6254" w:rsidRPr="006C02F0">
        <w:rPr>
          <w:rStyle w:val="Bodytext2Bold"/>
          <w:rFonts w:ascii="Times New Roman" w:hAnsi="Times New Roman" w:cs="Times New Roman"/>
          <w:b w:val="0"/>
          <w:color w:val="auto"/>
          <w:lang w:val="bg-BG"/>
        </w:rPr>
        <w:t>и</w:t>
      </w:r>
      <w:r w:rsidRPr="006C02F0">
        <w:rPr>
          <w:rStyle w:val="Bodytext2Bold"/>
          <w:rFonts w:ascii="Times New Roman" w:hAnsi="Times New Roman" w:cs="Times New Roman"/>
          <w:b w:val="0"/>
          <w:color w:val="auto"/>
          <w:lang w:val="bg-BG"/>
        </w:rPr>
        <w:t xml:space="preserve"> и инфраструктура</w:t>
      </w:r>
      <w:r w:rsidR="007D6254" w:rsidRPr="006C02F0">
        <w:rPr>
          <w:rStyle w:val="Bodytext2Bold"/>
          <w:rFonts w:ascii="Times New Roman" w:hAnsi="Times New Roman" w:cs="Times New Roman"/>
          <w:b w:val="0"/>
          <w:color w:val="auto"/>
          <w:lang w:val="bg-BG"/>
        </w:rPr>
        <w:t>, свързана с паркиране</w:t>
      </w:r>
      <w:r w:rsidRPr="006C02F0">
        <w:rPr>
          <w:rStyle w:val="Bodytext2Bold"/>
          <w:rFonts w:ascii="Times New Roman" w:hAnsi="Times New Roman" w:cs="Times New Roman"/>
          <w:b w:val="0"/>
          <w:color w:val="auto"/>
          <w:lang w:val="bg-BG"/>
        </w:rPr>
        <w:t xml:space="preserve"> </w:t>
      </w:r>
      <w:r w:rsidR="007D6254" w:rsidRPr="006C02F0">
        <w:rPr>
          <w:rStyle w:val="Bodytext2Bold"/>
          <w:rFonts w:ascii="Times New Roman" w:hAnsi="Times New Roman" w:cs="Times New Roman"/>
          <w:b w:val="0"/>
          <w:color w:val="auto"/>
          <w:lang w:val="bg-BG"/>
        </w:rPr>
        <w:t xml:space="preserve">и придвижване. </w:t>
      </w:r>
      <w:r w:rsidRPr="006C02F0">
        <w:rPr>
          <w:rStyle w:val="Bodytext2Bold"/>
          <w:rFonts w:ascii="Times New Roman" w:hAnsi="Times New Roman" w:cs="Times New Roman"/>
          <w:b w:val="0"/>
          <w:color w:val="auto"/>
          <w:lang w:val="bg-BG"/>
        </w:rPr>
        <w:t>Също така</w:t>
      </w:r>
      <w:r w:rsidR="007D6254" w:rsidRPr="006C02F0">
        <w:rPr>
          <w:rStyle w:val="Bodytext2Bold"/>
          <w:rFonts w:ascii="Times New Roman" w:hAnsi="Times New Roman" w:cs="Times New Roman"/>
          <w:b w:val="0"/>
          <w:color w:val="auto"/>
          <w:lang w:val="bg-BG"/>
        </w:rPr>
        <w:t>,</w:t>
      </w:r>
      <w:r w:rsidRPr="006C02F0">
        <w:rPr>
          <w:rStyle w:val="Bodytext2Bold"/>
          <w:rFonts w:ascii="Times New Roman" w:hAnsi="Times New Roman" w:cs="Times New Roman"/>
          <w:b w:val="0"/>
          <w:color w:val="auto"/>
          <w:lang w:val="bg-BG"/>
        </w:rPr>
        <w:t xml:space="preserve"> финансирането на строителство или ремонт на частни места за настаняване от държавата е разрешена съгласно ОРГО, при условие че са изпълнени всички условия по член 56.</w:t>
      </w:r>
      <w:r w:rsidRPr="006C02F0">
        <w:rPr>
          <w:rFonts w:ascii="Times New Roman" w:hAnsi="Times New Roman" w:cs="Times New Roman"/>
          <w:color w:val="auto"/>
          <w:lang w:val="bg-BG"/>
        </w:rPr>
        <w:t xml:space="preserve"> При условие, че праговете, приложими към член 56 от Общия регламент за групово освобождаване, са спазени, по принцип не е налице допълнително изискване, че инфраструктурата следва да се използва само от местната общност, или в по-общ план, </w:t>
      </w:r>
      <w:r w:rsidR="007D6254" w:rsidRPr="006C02F0">
        <w:rPr>
          <w:rFonts w:ascii="Times New Roman" w:hAnsi="Times New Roman" w:cs="Times New Roman"/>
          <w:color w:val="auto"/>
          <w:lang w:val="bg-BG"/>
        </w:rPr>
        <w:t xml:space="preserve">да </w:t>
      </w:r>
      <w:r w:rsidRPr="006C02F0">
        <w:rPr>
          <w:rFonts w:ascii="Times New Roman" w:hAnsi="Times New Roman" w:cs="Times New Roman"/>
          <w:color w:val="auto"/>
          <w:lang w:val="bg-BG"/>
        </w:rPr>
        <w:t>има само местно въздействие. Поради това може също така да се използва за финансиране на широк набор от инфраструктури от значение за туризма.</w:t>
      </w:r>
    </w:p>
    <w:p w:rsidR="00EC7D81" w:rsidRPr="006C02F0" w:rsidRDefault="00D8089D">
      <w:pPr>
        <w:pStyle w:val="Bodytext21"/>
        <w:numPr>
          <w:ilvl w:val="0"/>
          <w:numId w:val="1"/>
        </w:numPr>
        <w:tabs>
          <w:tab w:val="left" w:pos="390"/>
        </w:tabs>
        <w:spacing w:before="0" w:after="287"/>
        <w:ind w:left="400"/>
        <w:rPr>
          <w:rFonts w:ascii="Times New Roman" w:hAnsi="Times New Roman" w:cs="Times New Roman"/>
          <w:color w:val="auto"/>
          <w:lang w:val="bg-BG"/>
        </w:rPr>
      </w:pPr>
      <w:r w:rsidRPr="006C02F0">
        <w:rPr>
          <w:rFonts w:ascii="Times New Roman" w:hAnsi="Times New Roman" w:cs="Times New Roman"/>
          <w:color w:val="auto"/>
          <w:lang w:val="bg-BG"/>
        </w:rPr>
        <w:t xml:space="preserve">Важно е да се отбележи, че съгласно член 56, параграф 6, размерът на помощта трябва да бъде ограничен до недостига на финансиране, като се вземат предвид всички оперативни приходи от инвестицията за целия </w:t>
      </w:r>
      <w:r w:rsidR="007D6254" w:rsidRPr="006C02F0">
        <w:rPr>
          <w:rFonts w:ascii="Times New Roman" w:hAnsi="Times New Roman" w:cs="Times New Roman"/>
          <w:color w:val="auto"/>
          <w:lang w:val="bg-BG"/>
        </w:rPr>
        <w:t>й</w:t>
      </w:r>
      <w:r w:rsidRPr="006C02F0">
        <w:rPr>
          <w:rFonts w:ascii="Times New Roman" w:hAnsi="Times New Roman" w:cs="Times New Roman"/>
          <w:color w:val="auto"/>
          <w:lang w:val="bg-BG"/>
        </w:rPr>
        <w:t xml:space="preserve"> жизнен цикъл. Следователно, ако публичен орган иска да финансира изграждането на инфраструктура или нейната модернизация, тя е длъжна да гарантира, че всички оперативни приходи, генерирани от самата инфраструктура или модернизиране</w:t>
      </w:r>
      <w:r w:rsidR="007D6254" w:rsidRPr="006C02F0">
        <w:rPr>
          <w:rFonts w:ascii="Times New Roman" w:hAnsi="Times New Roman" w:cs="Times New Roman"/>
          <w:color w:val="auto"/>
          <w:lang w:val="bg-BG"/>
        </w:rPr>
        <w:t xml:space="preserve">то й </w:t>
      </w:r>
      <w:r w:rsidRPr="006C02F0">
        <w:rPr>
          <w:rFonts w:ascii="Times New Roman" w:hAnsi="Times New Roman" w:cs="Times New Roman"/>
          <w:color w:val="auto"/>
          <w:lang w:val="bg-BG"/>
        </w:rPr>
        <w:t>за целия живот на та</w:t>
      </w:r>
      <w:r w:rsidR="007D6254" w:rsidRPr="006C02F0">
        <w:rPr>
          <w:rFonts w:ascii="Times New Roman" w:hAnsi="Times New Roman" w:cs="Times New Roman"/>
          <w:color w:val="auto"/>
          <w:lang w:val="bg-BG"/>
        </w:rPr>
        <w:t>зи инфраструктура или модернизация</w:t>
      </w:r>
      <w:r w:rsidRPr="006C02F0">
        <w:rPr>
          <w:rFonts w:ascii="Times New Roman" w:hAnsi="Times New Roman" w:cs="Times New Roman"/>
          <w:color w:val="auto"/>
          <w:lang w:val="bg-BG"/>
        </w:rPr>
        <w:t xml:space="preserve"> се вземат изцяло предвид.</w:t>
      </w:r>
    </w:p>
    <w:p w:rsidR="00EC7D81" w:rsidRPr="006C02F0" w:rsidRDefault="007D6254">
      <w:pPr>
        <w:pStyle w:val="Bodytext21"/>
        <w:numPr>
          <w:ilvl w:val="0"/>
          <w:numId w:val="1"/>
        </w:numPr>
        <w:tabs>
          <w:tab w:val="left" w:pos="390"/>
        </w:tabs>
        <w:spacing w:before="0" w:after="287"/>
        <w:ind w:left="400"/>
        <w:rPr>
          <w:rFonts w:ascii="Times New Roman" w:hAnsi="Times New Roman" w:cs="Times New Roman"/>
          <w:color w:val="auto"/>
          <w:lang w:val="bg-BG"/>
        </w:rPr>
      </w:pPr>
      <w:r w:rsidRPr="006C02F0">
        <w:rPr>
          <w:rStyle w:val="Bodytext2Bold"/>
          <w:rFonts w:ascii="Times New Roman" w:hAnsi="Times New Roman" w:cs="Times New Roman"/>
          <w:color w:val="auto"/>
          <w:lang w:val="bg-BG"/>
        </w:rPr>
        <w:t>Член 14 от ОРГО, кой</w:t>
      </w:r>
      <w:r w:rsidR="00D8089D" w:rsidRPr="006C02F0">
        <w:rPr>
          <w:rStyle w:val="Bodytext2Bold"/>
          <w:rFonts w:ascii="Times New Roman" w:hAnsi="Times New Roman" w:cs="Times New Roman"/>
          <w:color w:val="auto"/>
          <w:lang w:val="bg-BG"/>
        </w:rPr>
        <w:t>то позволява регионалната инвестиционна помощ</w:t>
      </w:r>
      <w:r w:rsidRPr="006C02F0">
        <w:rPr>
          <w:rStyle w:val="Bodytext2Bold"/>
          <w:rFonts w:ascii="Times New Roman" w:hAnsi="Times New Roman" w:cs="Times New Roman"/>
          <w:color w:val="auto"/>
          <w:lang w:val="bg-BG"/>
        </w:rPr>
        <w:t>,</w:t>
      </w:r>
      <w:r w:rsidR="00D8089D" w:rsidRPr="006C02F0">
        <w:rPr>
          <w:rStyle w:val="Bodytext2Bold"/>
          <w:rFonts w:ascii="Times New Roman" w:hAnsi="Times New Roman" w:cs="Times New Roman"/>
          <w:color w:val="auto"/>
          <w:lang w:val="bg-BG"/>
        </w:rPr>
        <w:t xml:space="preserve"> може също така да се прилага, при условие че инвестицията се осъществява в подпомаган регион, интензитет</w:t>
      </w:r>
      <w:r w:rsidRPr="006C02F0">
        <w:rPr>
          <w:rStyle w:val="Bodytext2Bold"/>
          <w:rFonts w:ascii="Times New Roman" w:hAnsi="Times New Roman" w:cs="Times New Roman"/>
          <w:color w:val="auto"/>
          <w:lang w:val="bg-BG"/>
        </w:rPr>
        <w:t>ите</w:t>
      </w:r>
      <w:r w:rsidR="00D8089D" w:rsidRPr="006C02F0">
        <w:rPr>
          <w:rStyle w:val="Bodytext2Bold"/>
          <w:rFonts w:ascii="Times New Roman" w:hAnsi="Times New Roman" w:cs="Times New Roman"/>
          <w:color w:val="auto"/>
          <w:lang w:val="bg-BG"/>
        </w:rPr>
        <w:t xml:space="preserve"> на помощта, определени в картата за регионална помощ не са надвишени и че всички условия, определени в член 14, са спазени.</w:t>
      </w:r>
      <w:r w:rsidR="00D8089D" w:rsidRPr="006C02F0">
        <w:rPr>
          <w:rFonts w:ascii="Times New Roman" w:hAnsi="Times New Roman" w:cs="Times New Roman"/>
          <w:color w:val="auto"/>
          <w:lang w:val="bg-BG"/>
        </w:rPr>
        <w:t xml:space="preserve"> Моля имайте предвид, че схемите за член 13, буква б) също така позволява дейности, специално насочени към туризма.</w:t>
      </w:r>
    </w:p>
    <w:p w:rsidR="00EC7D81" w:rsidRPr="006C02F0" w:rsidRDefault="00D8089D">
      <w:pPr>
        <w:pStyle w:val="Bodytext21"/>
        <w:numPr>
          <w:ilvl w:val="0"/>
          <w:numId w:val="1"/>
        </w:numPr>
        <w:tabs>
          <w:tab w:val="left" w:pos="390"/>
        </w:tabs>
        <w:spacing w:before="0" w:after="287"/>
        <w:ind w:left="400"/>
        <w:rPr>
          <w:rFonts w:ascii="Times New Roman" w:hAnsi="Times New Roman" w:cs="Times New Roman"/>
          <w:b/>
          <w:color w:val="auto"/>
          <w:lang w:val="bg-BG"/>
        </w:rPr>
      </w:pPr>
      <w:r w:rsidRPr="006C02F0">
        <w:rPr>
          <w:rFonts w:ascii="Times New Roman" w:hAnsi="Times New Roman" w:cs="Times New Roman"/>
          <w:color w:val="auto"/>
          <w:lang w:val="bg-BG"/>
        </w:rPr>
        <w:t>Помощи за МСП — например в сектора на хотелиерството и ресторантьорството — могат да бъдат отпуснати по силата на членове 17—19 от ОРГО.</w:t>
      </w:r>
    </w:p>
    <w:p w:rsidR="00EC7D81" w:rsidRPr="006C02F0" w:rsidRDefault="00D8089D">
      <w:pPr>
        <w:pStyle w:val="Bodytext21"/>
        <w:numPr>
          <w:ilvl w:val="0"/>
          <w:numId w:val="1"/>
        </w:numPr>
        <w:tabs>
          <w:tab w:val="left" w:pos="390"/>
        </w:tabs>
        <w:spacing w:before="0" w:after="0"/>
        <w:ind w:left="400"/>
        <w:rPr>
          <w:rFonts w:ascii="Times New Roman" w:hAnsi="Times New Roman" w:cs="Times New Roman"/>
          <w:color w:val="auto"/>
          <w:lang w:val="bg-BG" w:eastAsia="da-DK" w:bidi="da-DK"/>
        </w:rPr>
      </w:pPr>
      <w:r w:rsidRPr="006C02F0">
        <w:rPr>
          <w:rFonts w:ascii="Times New Roman" w:hAnsi="Times New Roman" w:cs="Times New Roman"/>
          <w:color w:val="auto"/>
          <w:lang w:val="bg-BG"/>
        </w:rPr>
        <w:t>Ако дадена услуга може да бъде квалифициран</w:t>
      </w:r>
      <w:r w:rsidR="007D6254" w:rsidRPr="006C02F0">
        <w:rPr>
          <w:rFonts w:ascii="Times New Roman" w:hAnsi="Times New Roman" w:cs="Times New Roman"/>
          <w:color w:val="auto"/>
          <w:lang w:val="bg-BG"/>
        </w:rPr>
        <w:t>а</w:t>
      </w:r>
      <w:r w:rsidRPr="006C02F0">
        <w:rPr>
          <w:rFonts w:ascii="Times New Roman" w:hAnsi="Times New Roman" w:cs="Times New Roman"/>
          <w:color w:val="auto"/>
          <w:lang w:val="bg-BG"/>
        </w:rPr>
        <w:t xml:space="preserve"> като услуга от общ икономически интерес (вж. точки от 22 до 24 по-горе относно изключителния характер на тази</w:t>
      </w:r>
      <w:r w:rsidR="00CA3D20" w:rsidRPr="006C02F0">
        <w:rPr>
          <w:rFonts w:ascii="Times New Roman" w:hAnsi="Times New Roman" w:cs="Times New Roman"/>
          <w:color w:val="auto"/>
          <w:lang w:val="bg-BG"/>
        </w:rPr>
        <w:t xml:space="preserve"> услуга</w:t>
      </w:r>
      <w:r w:rsidRPr="006C02F0">
        <w:rPr>
          <w:rFonts w:ascii="Times New Roman" w:hAnsi="Times New Roman" w:cs="Times New Roman"/>
          <w:color w:val="auto"/>
          <w:lang w:val="bg-BG"/>
        </w:rPr>
        <w:t xml:space="preserve">), държавна помощ за компенсиране на тази УОИИ до 15 млн. EUR годишно (средно за целия срок на </w:t>
      </w:r>
      <w:r w:rsidR="00D54971" w:rsidRPr="006C02F0">
        <w:rPr>
          <w:rFonts w:ascii="Times New Roman" w:hAnsi="Times New Roman" w:cs="Times New Roman"/>
          <w:color w:val="auto"/>
          <w:lang w:val="bg-BG"/>
        </w:rPr>
        <w:t xml:space="preserve"> възлагане</w:t>
      </w:r>
      <w:r w:rsidRPr="006C02F0">
        <w:rPr>
          <w:rFonts w:ascii="Times New Roman" w:hAnsi="Times New Roman" w:cs="Times New Roman"/>
          <w:color w:val="auto"/>
          <w:lang w:val="bg-BG"/>
        </w:rPr>
        <w:t xml:space="preserve">), </w:t>
      </w:r>
      <w:r w:rsidR="00CA3D20" w:rsidRPr="006C02F0">
        <w:rPr>
          <w:rFonts w:ascii="Times New Roman" w:hAnsi="Times New Roman" w:cs="Times New Roman"/>
          <w:color w:val="auto"/>
          <w:lang w:val="bg-BG"/>
        </w:rPr>
        <w:t>може</w:t>
      </w:r>
      <w:r w:rsidRPr="006C02F0">
        <w:rPr>
          <w:rFonts w:ascii="Times New Roman" w:hAnsi="Times New Roman" w:cs="Times New Roman"/>
          <w:color w:val="auto"/>
          <w:lang w:val="bg-BG"/>
        </w:rPr>
        <w:t xml:space="preserve"> да бъд</w:t>
      </w:r>
      <w:r w:rsidR="00CA3D20" w:rsidRPr="006C02F0">
        <w:rPr>
          <w:rFonts w:ascii="Times New Roman" w:hAnsi="Times New Roman" w:cs="Times New Roman"/>
          <w:color w:val="auto"/>
          <w:lang w:val="bg-BG"/>
        </w:rPr>
        <w:t>е</w:t>
      </w:r>
      <w:r w:rsidRPr="006C02F0">
        <w:rPr>
          <w:rFonts w:ascii="Times New Roman" w:hAnsi="Times New Roman" w:cs="Times New Roman"/>
          <w:color w:val="auto"/>
          <w:lang w:val="bg-BG"/>
        </w:rPr>
        <w:t xml:space="preserve"> освободен</w:t>
      </w:r>
      <w:r w:rsidR="00CA3D20" w:rsidRPr="006C02F0">
        <w:rPr>
          <w:rFonts w:ascii="Times New Roman" w:hAnsi="Times New Roman" w:cs="Times New Roman"/>
          <w:color w:val="auto"/>
          <w:lang w:val="bg-BG"/>
        </w:rPr>
        <w:t>а</w:t>
      </w:r>
      <w:r w:rsidRPr="006C02F0">
        <w:rPr>
          <w:rFonts w:ascii="Times New Roman" w:hAnsi="Times New Roman" w:cs="Times New Roman"/>
          <w:color w:val="auto"/>
          <w:lang w:val="bg-BG"/>
        </w:rPr>
        <w:t xml:space="preserve"> от уведомяване въз основа на Решението за УОИИ, при условие че са изпълнени критериите по посоченото решение: определяне и възлагане на УОИИ, параметрите на компенсацията</w:t>
      </w:r>
      <w:r w:rsidR="00CA3D20" w:rsidRPr="006C02F0">
        <w:rPr>
          <w:rFonts w:ascii="Times New Roman" w:hAnsi="Times New Roman" w:cs="Times New Roman"/>
          <w:color w:val="auto"/>
          <w:lang w:val="bg-BG"/>
        </w:rPr>
        <w:t xml:space="preserve"> са</w:t>
      </w:r>
      <w:r w:rsidRPr="006C02F0">
        <w:rPr>
          <w:rFonts w:ascii="Times New Roman" w:hAnsi="Times New Roman" w:cs="Times New Roman"/>
          <w:color w:val="auto"/>
          <w:lang w:val="bg-BG"/>
        </w:rPr>
        <w:t xml:space="preserve"> установени </w:t>
      </w:r>
      <w:r w:rsidR="00CA3D20" w:rsidRPr="006C02F0">
        <w:rPr>
          <w:rFonts w:ascii="Times New Roman" w:hAnsi="Times New Roman" w:cs="Times New Roman"/>
          <w:color w:val="auto"/>
          <w:lang w:val="bg-BG"/>
        </w:rPr>
        <w:t>предварително</w:t>
      </w:r>
      <w:r w:rsidRPr="006C02F0">
        <w:rPr>
          <w:rFonts w:ascii="Times New Roman" w:hAnsi="Times New Roman" w:cs="Times New Roman"/>
          <w:color w:val="auto"/>
          <w:lang w:val="bg-BG"/>
        </w:rPr>
        <w:t xml:space="preserve"> по прозрачен начин, размер</w:t>
      </w:r>
      <w:r w:rsidR="00CA3D20" w:rsidRPr="006C02F0">
        <w:rPr>
          <w:rFonts w:ascii="Times New Roman" w:hAnsi="Times New Roman" w:cs="Times New Roman"/>
          <w:color w:val="auto"/>
          <w:lang w:val="bg-BG"/>
        </w:rPr>
        <w:t>ът</w:t>
      </w:r>
      <w:r w:rsidRPr="006C02F0">
        <w:rPr>
          <w:rFonts w:ascii="Times New Roman" w:hAnsi="Times New Roman" w:cs="Times New Roman"/>
          <w:color w:val="auto"/>
          <w:lang w:val="bg-BG"/>
        </w:rPr>
        <w:t xml:space="preserve"> на компенсацията не надвишава разходите за предоставянето на УОИИ, </w:t>
      </w:r>
      <w:r w:rsidR="00CA3D20" w:rsidRPr="006C02F0">
        <w:rPr>
          <w:rFonts w:ascii="Times New Roman" w:hAnsi="Times New Roman" w:cs="Times New Roman"/>
          <w:color w:val="auto"/>
          <w:lang w:val="bg-BG"/>
        </w:rPr>
        <w:t>заедно с</w:t>
      </w:r>
      <w:r w:rsidRPr="006C02F0">
        <w:rPr>
          <w:rFonts w:ascii="Times New Roman" w:hAnsi="Times New Roman" w:cs="Times New Roman"/>
          <w:color w:val="auto"/>
          <w:lang w:val="bg-BG"/>
        </w:rPr>
        <w:t xml:space="preserve"> разумна печалба, </w:t>
      </w:r>
      <w:r w:rsidR="00CA3D20" w:rsidRPr="006C02F0">
        <w:rPr>
          <w:rFonts w:ascii="Times New Roman" w:hAnsi="Times New Roman" w:cs="Times New Roman"/>
          <w:color w:val="auto"/>
          <w:lang w:val="bg-BG"/>
        </w:rPr>
        <w:t xml:space="preserve">налице е </w:t>
      </w:r>
      <w:r w:rsidRPr="006C02F0">
        <w:rPr>
          <w:rFonts w:ascii="Times New Roman" w:hAnsi="Times New Roman" w:cs="Times New Roman"/>
          <w:color w:val="auto"/>
          <w:lang w:val="bg-BG"/>
        </w:rPr>
        <w:t xml:space="preserve">механизъм за </w:t>
      </w:r>
      <w:r w:rsidR="00CA3D20" w:rsidRPr="006C02F0">
        <w:rPr>
          <w:rFonts w:ascii="Times New Roman" w:hAnsi="Times New Roman" w:cs="Times New Roman"/>
          <w:color w:val="auto"/>
          <w:lang w:val="bg-BG"/>
        </w:rPr>
        <w:t>възстановяван</w:t>
      </w:r>
      <w:r w:rsidR="00D54971" w:rsidRPr="006C02F0">
        <w:rPr>
          <w:rFonts w:ascii="Times New Roman" w:hAnsi="Times New Roman" w:cs="Times New Roman"/>
          <w:color w:val="auto"/>
          <w:lang w:val="bg-BG"/>
        </w:rPr>
        <w:t>е</w:t>
      </w:r>
      <w:r w:rsidR="00CA3D20" w:rsidRPr="006C02F0">
        <w:rPr>
          <w:rFonts w:ascii="Times New Roman" w:hAnsi="Times New Roman" w:cs="Times New Roman"/>
          <w:color w:val="auto"/>
          <w:lang w:val="bg-BG"/>
        </w:rPr>
        <w:t>, кой</w:t>
      </w:r>
      <w:r w:rsidRPr="006C02F0">
        <w:rPr>
          <w:rFonts w:ascii="Times New Roman" w:hAnsi="Times New Roman" w:cs="Times New Roman"/>
          <w:color w:val="auto"/>
          <w:lang w:val="bg-BG"/>
        </w:rPr>
        <w:t>то гарантира липсата на свръхкомпенсиране.</w:t>
      </w:r>
    </w:p>
    <w:p w:rsidR="00EC7D81" w:rsidRPr="006C02F0" w:rsidRDefault="00EC7D81">
      <w:pPr>
        <w:pStyle w:val="Bodytext21"/>
        <w:tabs>
          <w:tab w:val="left" w:pos="737"/>
        </w:tabs>
        <w:spacing w:before="0" w:after="0" w:line="269" w:lineRule="exact"/>
        <w:ind w:firstLine="0"/>
        <w:rPr>
          <w:rFonts w:ascii="Times New Roman" w:hAnsi="Times New Roman" w:cs="Times New Roman"/>
          <w:color w:val="auto"/>
          <w:lang w:val="bg-BG"/>
        </w:rPr>
      </w:pPr>
    </w:p>
    <w:sectPr w:rsidR="00EC7D81" w:rsidRPr="006C02F0" w:rsidSect="006C02F0">
      <w:footerReference w:type="even" r:id="rId8"/>
      <w:footerReference w:type="default" r:id="rId9"/>
      <w:pgSz w:w="11906" w:h="16838"/>
      <w:pgMar w:top="993" w:right="1133" w:bottom="1702" w:left="1276" w:header="0" w:footer="3"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D6" w:rsidRDefault="008A51D6">
      <w:r>
        <w:separator/>
      </w:r>
    </w:p>
  </w:endnote>
  <w:endnote w:type="continuationSeparator" w:id="0">
    <w:p w:rsidR="008A51D6" w:rsidRDefault="008A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Bitstream Vera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81" w:rsidRDefault="00AB7129">
    <w:pPr>
      <w:rPr>
        <w:sz w:val="2"/>
        <w:szCs w:val="2"/>
      </w:rPr>
    </w:pPr>
    <w:r>
      <w:rPr>
        <w:noProof/>
        <w:lang w:val="bg-BG" w:eastAsia="bg-BG" w:bidi="ar-SA"/>
      </w:rPr>
      <mc:AlternateContent>
        <mc:Choice Requires="wps">
          <w:drawing>
            <wp:anchor distT="635" distB="0" distL="66040" distR="66040" simplePos="0" relativeHeight="8" behindDoc="1" locked="0" layoutInCell="1" allowOverlap="1">
              <wp:simplePos x="0" y="0"/>
              <wp:positionH relativeFrom="page">
                <wp:posOffset>3755390</wp:posOffset>
              </wp:positionH>
              <wp:positionV relativeFrom="page">
                <wp:posOffset>9554210</wp:posOffset>
              </wp:positionV>
              <wp:extent cx="67945" cy="138430"/>
              <wp:effectExtent l="0" t="0" r="825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45" cy="138430"/>
                      </a:xfrm>
                      <a:prstGeom prst="rect">
                        <a:avLst/>
                      </a:prstGeom>
                      <a:noFill/>
                      <a:ln>
                        <a:noFill/>
                      </a:ln>
                    </wps:spPr>
                    <wps:style>
                      <a:lnRef idx="0">
                        <a:scrgbClr r="0" g="0" b="0"/>
                      </a:lnRef>
                      <a:fillRef idx="0">
                        <a:scrgbClr r="0" g="0" b="0"/>
                      </a:fillRef>
                      <a:effectRef idx="0">
                        <a:scrgbClr r="0" g="0" b="0"/>
                      </a:effectRef>
                      <a:fontRef idx="minor"/>
                    </wps:style>
                    <wps:txbx>
                      <w:txbxContent>
                        <w:p w:rsidR="00EC7D81" w:rsidRDefault="00D8089D">
                          <w:pPr>
                            <w:pStyle w:val="Headerorfooter1"/>
                            <w:spacing w:line="240" w:lineRule="auto"/>
                          </w:pPr>
                          <w:r>
                            <w:rPr>
                              <w:rStyle w:val="Headerorfooter0"/>
                              <w:color w:val="auto"/>
                            </w:rPr>
                            <w:fldChar w:fldCharType="begin"/>
                          </w:r>
                          <w:r>
                            <w:instrText>PAGE</w:instrText>
                          </w:r>
                          <w:r>
                            <w:fldChar w:fldCharType="separate"/>
                          </w:r>
                          <w:r w:rsidR="00AB7129">
                            <w:rPr>
                              <w:noProof/>
                            </w:rPr>
                            <w:t>4</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95.7pt;margin-top:752.3pt;width:5.35pt;height:10.9pt;z-index:-503316472;visibility:visible;mso-wrap-style:square;mso-width-percent:0;mso-height-percent:0;mso-wrap-distance-left:5.2pt;mso-wrap-distance-top:.05pt;mso-wrap-distance-right:5.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" filled="f" stroked="f">
              <v:path arrowok="t"/>
              <v:textbox style="mso-fit-shape-to-text:t" inset="0,0,0,0">
                <w:txbxContent>
                  <w:p w:rsidR="00EC7D81" w:rsidRDefault="00D8089D">
                    <w:pPr>
                      <w:pStyle w:val="Headerorfooter1"/>
                      <w:spacing w:line="240" w:lineRule="auto"/>
                    </w:pPr>
                    <w:r>
                      <w:rPr>
                        <w:rStyle w:val="Headerorfooter0"/>
                        <w:color w:val="auto"/>
                      </w:rPr>
                      <w:fldChar w:fldCharType="begin"/>
                    </w:r>
                    <w:r>
                      <w:instrText>PAGE</w:instrText>
                    </w:r>
                    <w:r>
                      <w:fldChar w:fldCharType="separate"/>
                    </w:r>
                    <w:r w:rsidR="00AB7129">
                      <w:rPr>
                        <w:noProof/>
                      </w:rPr>
                      <w:t>4</w:t>
                    </w:r>
                    <w: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81" w:rsidRDefault="00AB7129">
    <w:pPr>
      <w:rPr>
        <w:sz w:val="2"/>
        <w:szCs w:val="2"/>
      </w:rPr>
    </w:pPr>
    <w:r>
      <w:rPr>
        <w:noProof/>
        <w:lang w:val="bg-BG" w:eastAsia="bg-BG" w:bidi="ar-SA"/>
      </w:rPr>
      <mc:AlternateContent>
        <mc:Choice Requires="wps">
          <w:drawing>
            <wp:anchor distT="635" distB="0" distL="66040" distR="66040" simplePos="0" relativeHeight="4" behindDoc="1" locked="0" layoutInCell="1" allowOverlap="1">
              <wp:simplePos x="0" y="0"/>
              <wp:positionH relativeFrom="page">
                <wp:posOffset>3755390</wp:posOffset>
              </wp:positionH>
              <wp:positionV relativeFrom="page">
                <wp:posOffset>9554210</wp:posOffset>
              </wp:positionV>
              <wp:extent cx="67945" cy="138430"/>
              <wp:effectExtent l="0" t="0" r="825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45" cy="138430"/>
                      </a:xfrm>
                      <a:prstGeom prst="rect">
                        <a:avLst/>
                      </a:prstGeom>
                      <a:noFill/>
                      <a:ln>
                        <a:noFill/>
                      </a:ln>
                    </wps:spPr>
                    <wps:style>
                      <a:lnRef idx="0">
                        <a:scrgbClr r="0" g="0" b="0"/>
                      </a:lnRef>
                      <a:fillRef idx="0">
                        <a:scrgbClr r="0" g="0" b="0"/>
                      </a:fillRef>
                      <a:effectRef idx="0">
                        <a:scrgbClr r="0" g="0" b="0"/>
                      </a:effectRef>
                      <a:fontRef idx="minor"/>
                    </wps:style>
                    <wps:txbx>
                      <w:txbxContent>
                        <w:p w:rsidR="00EC7D81" w:rsidRDefault="00D8089D">
                          <w:pPr>
                            <w:pStyle w:val="Headerorfooter1"/>
                            <w:spacing w:line="240" w:lineRule="auto"/>
                          </w:pPr>
                          <w:r>
                            <w:rPr>
                              <w:rStyle w:val="Headerorfooter0"/>
                              <w:color w:val="auto"/>
                            </w:rPr>
                            <w:fldChar w:fldCharType="begin"/>
                          </w:r>
                          <w:r>
                            <w:instrText>PAGE</w:instrText>
                          </w:r>
                          <w:r>
                            <w:fldChar w:fldCharType="separate"/>
                          </w:r>
                          <w:r w:rsidR="00AB7129">
                            <w:rPr>
                              <w:noProof/>
                            </w:rPr>
                            <w:t>1</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95.7pt;margin-top:752.3pt;width:5.35pt;height:10.9pt;z-index:-503316476;visibility:visible;mso-wrap-style:square;mso-width-percent:0;mso-height-percent:0;mso-wrap-distance-left:5.2pt;mso-wrap-distance-top:.05pt;mso-wrap-distance-right:5.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" filled="f" stroked="f">
              <v:path arrowok="t"/>
              <v:textbox style="mso-fit-shape-to-text:t" inset="0,0,0,0">
                <w:txbxContent>
                  <w:p w:rsidR="00EC7D81" w:rsidRDefault="00D8089D">
                    <w:pPr>
                      <w:pStyle w:val="Headerorfooter1"/>
                      <w:spacing w:line="240" w:lineRule="auto"/>
                    </w:pPr>
                    <w:r>
                      <w:rPr>
                        <w:rStyle w:val="Headerorfooter0"/>
                        <w:color w:val="auto"/>
                      </w:rPr>
                      <w:fldChar w:fldCharType="begin"/>
                    </w:r>
                    <w:r>
                      <w:instrText>PAGE</w:instrText>
                    </w:r>
                    <w:r>
                      <w:fldChar w:fldCharType="separate"/>
                    </w:r>
                    <w:r w:rsidR="00AB7129">
                      <w:rPr>
                        <w:noProof/>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D6" w:rsidRDefault="008A51D6">
      <w:r>
        <w:separator/>
      </w:r>
    </w:p>
  </w:footnote>
  <w:footnote w:type="continuationSeparator" w:id="0">
    <w:p w:rsidR="008A51D6" w:rsidRDefault="008A51D6">
      <w:r>
        <w:continuationSeparator/>
      </w:r>
    </w:p>
  </w:footnote>
  <w:footnote w:id="1">
    <w:p w:rsidR="00EC7D81" w:rsidRDefault="00D8089D">
      <w:pPr>
        <w:pStyle w:val="FootnoteText"/>
      </w:pPr>
      <w:r>
        <w:rPr>
          <w:sz w:val="16"/>
          <w:szCs w:val="16"/>
        </w:rPr>
        <w:footnoteRef/>
      </w:r>
      <w:r>
        <w:rPr>
          <w:sz w:val="16"/>
          <w:szCs w:val="16"/>
        </w:rPr>
        <w:tab/>
        <w:t>Вж. точка 207 от Известие на Комисията относно понятието за помощ.</w:t>
      </w:r>
    </w:p>
  </w:footnote>
  <w:footnote w:id="2">
    <w:p w:rsidR="00EC7D81" w:rsidRDefault="00D8089D">
      <w:pPr>
        <w:pStyle w:val="FootnoteText"/>
      </w:pPr>
      <w:r>
        <w:rPr>
          <w:sz w:val="16"/>
          <w:szCs w:val="16"/>
        </w:rPr>
        <w:footnoteRef/>
      </w:r>
      <w:r>
        <w:rPr>
          <w:sz w:val="16"/>
          <w:szCs w:val="16"/>
        </w:rPr>
        <w:tab/>
        <w:t xml:space="preserve">Вж. също аналитичната </w:t>
      </w:r>
      <w:r w:rsidR="006C02F0">
        <w:rPr>
          <w:sz w:val="16"/>
          <w:szCs w:val="16"/>
          <w:lang w:val="bg-BG"/>
        </w:rPr>
        <w:t>матрица за</w:t>
      </w:r>
      <w:r>
        <w:rPr>
          <w:sz w:val="16"/>
          <w:szCs w:val="16"/>
        </w:rPr>
        <w:t xml:space="preserve"> културата: </w:t>
      </w:r>
      <w:hyperlink r:id="rId1">
        <w:r>
          <w:rPr>
            <w:rStyle w:val="InternetLink"/>
            <w:sz w:val="16"/>
            <w:szCs w:val="16"/>
          </w:rPr>
          <w:t>http://ec.europa.eu/competition/state_aid/modernisation/notice_aid_en.html.</w:t>
        </w:r>
      </w:hyperlink>
    </w:p>
  </w:footnote>
  <w:footnote w:id="3">
    <w:p w:rsidR="00EC7D81" w:rsidRDefault="00D8089D">
      <w:pPr>
        <w:pStyle w:val="FootnoteText"/>
      </w:pPr>
      <w:r>
        <w:rPr>
          <w:sz w:val="16"/>
          <w:szCs w:val="16"/>
        </w:rPr>
        <w:footnoteRef/>
      </w:r>
      <w:r>
        <w:rPr>
          <w:sz w:val="16"/>
          <w:szCs w:val="16"/>
        </w:rPr>
        <w:tab/>
        <w:t>В точка 196 от Известието относно понятието за помощ.</w:t>
      </w:r>
    </w:p>
  </w:footnote>
  <w:footnote w:id="4">
    <w:p w:rsidR="00EC7D81" w:rsidRDefault="008A51D6">
      <w:pPr>
        <w:pStyle w:val="FootnoteText"/>
        <w:rPr>
          <w:sz w:val="16"/>
          <w:szCs w:val="16"/>
        </w:rPr>
      </w:pPr>
      <w:hyperlink r:id="rId2">
        <w:r w:rsidR="00D8089D">
          <w:rPr>
            <w:sz w:val="16"/>
            <w:szCs w:val="16"/>
          </w:rPr>
          <w:footnoteRef/>
        </w:r>
        <w:r w:rsidR="00D8089D">
          <w:rPr>
            <w:sz w:val="16"/>
            <w:szCs w:val="16"/>
          </w:rPr>
          <w:tab/>
          <w:t>Вж. решения на Комисията от 9 април 2002 г. по дело N560/2001 — UK — Национален фонд за културното наследство, Брайтън пирс Trust, ОВ C 239, 4.10.2002 г., стр. 3 и от 20 юли 2005 г. по дело NN 55/2005 — PL — опазване на историческото наследство, ОВ C 295, 26.11.2005 г., стр. 10, http://ec.europa.eu/competition/state_aid/cases/199545/199545_516648_24_2.pdf.</w:t>
        </w:r>
      </w:hyperlink>
    </w:p>
  </w:footnote>
  <w:footnote w:id="5">
    <w:p w:rsidR="00EC7D81" w:rsidRDefault="00D8089D">
      <w:pPr>
        <w:pStyle w:val="FootnoteText"/>
      </w:pPr>
      <w:r>
        <w:rPr>
          <w:sz w:val="16"/>
          <w:szCs w:val="16"/>
        </w:rPr>
        <w:footnoteRef/>
      </w:r>
      <w:r>
        <w:rPr>
          <w:sz w:val="16"/>
          <w:szCs w:val="16"/>
        </w:rPr>
        <w:tab/>
        <w:t>Регламент (ЕС) № 1407/2013 на Комисията от 18 декември 2013 г. за прилагане на членове 107 и 108 от Договора за функционирането на Европейския съюз към помощта de minimis, ОВ L 352, 24.12.2013 г., стр. 1.</w:t>
      </w:r>
    </w:p>
  </w:footnote>
  <w:footnote w:id="6">
    <w:p w:rsidR="00EC7D81" w:rsidRDefault="00D8089D">
      <w:pPr>
        <w:pStyle w:val="FootnoteText"/>
      </w:pPr>
      <w:r>
        <w:rPr>
          <w:sz w:val="16"/>
          <w:szCs w:val="16"/>
        </w:rPr>
        <w:footnoteRef/>
      </w:r>
      <w:r>
        <w:rPr>
          <w:sz w:val="16"/>
          <w:szCs w:val="16"/>
        </w:rPr>
        <w:tab/>
        <w:t>Вж. дело C-280/00, Altmark Trans и Regierungspräsidium Magdeburg, EU:C:2003:415 и Съобщение на Комисията за прилагането на правилата на Европейския съюз за държавна помощ към компенсацията за предоставяне на услуги от общ икономически интерес, ОВ C 8, 11.1.2012 г., стр. 4</w:t>
      </w:r>
    </w:p>
  </w:footnote>
  <w:footnote w:id="7">
    <w:p w:rsidR="00EC7D81" w:rsidRDefault="00D8089D">
      <w:pPr>
        <w:pStyle w:val="FootnoteText"/>
      </w:pPr>
      <w:r>
        <w:rPr>
          <w:sz w:val="16"/>
          <w:szCs w:val="16"/>
        </w:rPr>
        <w:footnoteRef/>
      </w:r>
      <w:r>
        <w:rPr>
          <w:sz w:val="16"/>
          <w:szCs w:val="16"/>
        </w:rPr>
        <w:tab/>
        <w:t>Регламент на Комисията относно прилагането на членове 107 и 108 от Договора за функционирането на Европейския съюз към помощта de minimis, предоставяна на предприятия, предоставящи услуги от общ икономически интерес, ОВ L 114, 26.4.2012 г., стр. 8.</w:t>
      </w:r>
    </w:p>
  </w:footnote>
  <w:footnote w:id="8">
    <w:p w:rsidR="00EC7D81" w:rsidRDefault="00D8089D">
      <w:pPr>
        <w:pStyle w:val="FootnoteText"/>
      </w:pPr>
      <w:r>
        <w:rPr>
          <w:sz w:val="16"/>
          <w:szCs w:val="16"/>
        </w:rPr>
        <w:footnoteRef/>
      </w:r>
      <w:r>
        <w:rPr>
          <w:sz w:val="16"/>
          <w:szCs w:val="16"/>
        </w:rPr>
        <w:tab/>
        <w:t>Вж. съобщението за УОИИ, посочено по-горе, точки. 50 и 48.</w:t>
      </w:r>
    </w:p>
  </w:footnote>
  <w:footnote w:id="9">
    <w:p w:rsidR="00EC7D81" w:rsidRDefault="00D8089D">
      <w:pPr>
        <w:pStyle w:val="FootnoteText"/>
      </w:pPr>
      <w:r>
        <w:rPr>
          <w:sz w:val="16"/>
          <w:szCs w:val="16"/>
        </w:rPr>
        <w:footnoteRef/>
      </w:r>
      <w:r>
        <w:rPr>
          <w:sz w:val="16"/>
          <w:szCs w:val="16"/>
        </w:rPr>
        <w:tab/>
        <w:t>Регламент (ЕС) № 651/2014 на Комисията от 17 юни 2014 г. относно деклариране на някои категории помощи за съвместими с вътрешния пазар в приложение на членове 107 и 108 от Договора, ОВ L 187, 26.6.2014 г., стр. 1.</w:t>
      </w:r>
    </w:p>
  </w:footnote>
  <w:footnote w:id="10">
    <w:p w:rsidR="00EC7D81" w:rsidRDefault="00D8089D">
      <w:pPr>
        <w:pStyle w:val="FootnoteText"/>
      </w:pPr>
      <w:r>
        <w:rPr>
          <w:sz w:val="16"/>
          <w:szCs w:val="16"/>
        </w:rPr>
        <w:footnoteRef/>
      </w:r>
      <w:r>
        <w:rPr>
          <w:sz w:val="16"/>
          <w:szCs w:val="16"/>
        </w:rPr>
        <w:tab/>
        <w:t>Вж. документа на адрес:</w:t>
      </w:r>
      <w:r>
        <w:t xml:space="preserve"> </w:t>
      </w:r>
      <w:r>
        <w:rPr>
          <w:sz w:val="16"/>
          <w:szCs w:val="16"/>
        </w:rPr>
        <w:t>http://ec.europa.eu/competition/state_aid/legislation/practical_guide_gber_en.pdf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75D"/>
    <w:multiLevelType w:val="multilevel"/>
    <w:tmpl w:val="F6A4ACA2"/>
    <w:lvl w:ilvl="0">
      <w:start w:val="1"/>
      <w:numFmt w:val="decimal"/>
      <w:lvlText w:val="%1."/>
      <w:lvlJc w:val="left"/>
      <w:pPr>
        <w:ind w:left="720" w:hanging="360"/>
      </w:pPr>
      <w:rPr>
        <w:rFonts w:eastAsia="Arial" w:cs="Arial"/>
        <w:b w:val="0"/>
        <w:bCs w:val="0"/>
        <w:i w:val="0"/>
        <w:iCs w:val="0"/>
        <w:caps w:val="0"/>
        <w:smallCaps w:val="0"/>
        <w:strike w:val="0"/>
        <w:dstrike w:val="0"/>
        <w:color w:val="000000"/>
        <w:spacing w:val="0"/>
        <w:w w:val="100"/>
        <w:sz w:val="20"/>
        <w:szCs w:val="20"/>
        <w:u w:val="none"/>
        <w:lang w:val="en-US" w:eastAsia="en-US" w:bidi="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2683305E"/>
    <w:multiLevelType w:val="multilevel"/>
    <w:tmpl w:val="A0BE2B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81"/>
    <w:rsid w:val="002B3DDC"/>
    <w:rsid w:val="002D4787"/>
    <w:rsid w:val="0038397F"/>
    <w:rsid w:val="004E22A9"/>
    <w:rsid w:val="00664071"/>
    <w:rsid w:val="006C02F0"/>
    <w:rsid w:val="007D6254"/>
    <w:rsid w:val="008452C2"/>
    <w:rsid w:val="008A51D6"/>
    <w:rsid w:val="008C5A01"/>
    <w:rsid w:val="008E5821"/>
    <w:rsid w:val="009543A6"/>
    <w:rsid w:val="009A7BB7"/>
    <w:rsid w:val="00AB7129"/>
    <w:rsid w:val="00AC04B0"/>
    <w:rsid w:val="00CA3D20"/>
    <w:rsid w:val="00D10B3C"/>
    <w:rsid w:val="00D23B9E"/>
    <w:rsid w:val="00D35120"/>
    <w:rsid w:val="00D54971"/>
    <w:rsid w:val="00D8089D"/>
    <w:rsid w:val="00E15B0F"/>
    <w:rsid w:val="00EC7D81"/>
    <w:rsid w:val="00F31B3F"/>
    <w:rsid w:val="00F569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qFormat/>
    <w:rPr>
      <w:rFonts w:ascii="Arial" w:eastAsia="Arial" w:hAnsi="Arial" w:cs="Arial"/>
      <w:b w:val="0"/>
      <w:bCs w:val="0"/>
      <w:i w:val="0"/>
      <w:iCs w:val="0"/>
      <w:caps w:val="0"/>
      <w:smallCaps w:val="0"/>
      <w:strike w:val="0"/>
      <w:dstrike w:val="0"/>
      <w:sz w:val="14"/>
      <w:szCs w:val="14"/>
      <w:u w:val="none"/>
    </w:rPr>
  </w:style>
  <w:style w:type="character" w:customStyle="1" w:styleId="Footnote75pt">
    <w:name w:val="Footnote + 7.5 pt"/>
    <w:basedOn w:val="Footnote"/>
    <w:qFormat/>
    <w:rPr>
      <w:rFonts w:ascii="Arial" w:eastAsia="Arial" w:hAnsi="Arial" w:cs="Arial"/>
      <w:b w:val="0"/>
      <w:bCs w:val="0"/>
      <w:i/>
      <w:iCs/>
      <w:caps w:val="0"/>
      <w:smallCaps w:val="0"/>
      <w:strike w:val="0"/>
      <w:dstrike w:val="0"/>
      <w:color w:val="0000FF"/>
      <w:spacing w:val="0"/>
      <w:w w:val="100"/>
      <w:sz w:val="15"/>
      <w:szCs w:val="15"/>
      <w:u w:val="single"/>
      <w:lang w:val="en-US" w:eastAsia="en-US" w:bidi="en-US"/>
    </w:rPr>
  </w:style>
  <w:style w:type="character" w:customStyle="1" w:styleId="Footnote0">
    <w:name w:val="Footnote"/>
    <w:basedOn w:val="Footnote"/>
    <w:qFormat/>
    <w:rPr>
      <w:rFonts w:ascii="Arial" w:eastAsia="Arial" w:hAnsi="Arial" w:cs="Arial"/>
      <w:b w:val="0"/>
      <w:bCs w:val="0"/>
      <w:i w:val="0"/>
      <w:iCs w:val="0"/>
      <w:caps w:val="0"/>
      <w:smallCaps w:val="0"/>
      <w:strike w:val="0"/>
      <w:dstrike w:val="0"/>
      <w:color w:val="0000FF"/>
      <w:spacing w:val="0"/>
      <w:w w:val="100"/>
      <w:sz w:val="14"/>
      <w:szCs w:val="14"/>
      <w:u w:val="single"/>
      <w:lang w:val="en-US" w:eastAsia="en-US" w:bidi="en-US"/>
    </w:rPr>
  </w:style>
  <w:style w:type="character" w:customStyle="1" w:styleId="Bodytext4Exact">
    <w:name w:val="Body text (4) Exact"/>
    <w:basedOn w:val="DefaultParagraphFont"/>
    <w:qFormat/>
    <w:rPr>
      <w:rFonts w:ascii="Arial" w:eastAsia="Arial" w:hAnsi="Arial" w:cs="Arial"/>
      <w:b w:val="0"/>
      <w:bCs w:val="0"/>
      <w:i w:val="0"/>
      <w:iCs w:val="0"/>
      <w:caps w:val="0"/>
      <w:smallCaps w:val="0"/>
      <w:strike w:val="0"/>
      <w:dstrike w:val="0"/>
      <w:sz w:val="14"/>
      <w:szCs w:val="14"/>
      <w:u w:val="none"/>
    </w:rPr>
  </w:style>
  <w:style w:type="character" w:customStyle="1" w:styleId="Bodytext475pt">
    <w:name w:val="Body text (4) + 7.5 pt"/>
    <w:basedOn w:val="Bodytext4"/>
    <w:qFormat/>
    <w:rPr>
      <w:rFonts w:ascii="Arial" w:eastAsia="Arial" w:hAnsi="Arial" w:cs="Arial"/>
      <w:b w:val="0"/>
      <w:bCs w:val="0"/>
      <w:i/>
      <w:iCs/>
      <w:caps w:val="0"/>
      <w:smallCaps w:val="0"/>
      <w:strike w:val="0"/>
      <w:dstrike w:val="0"/>
      <w:color w:val="000000"/>
      <w:spacing w:val="0"/>
      <w:w w:val="100"/>
      <w:sz w:val="15"/>
      <w:szCs w:val="15"/>
      <w:u w:val="none"/>
      <w:lang w:val="en-US" w:eastAsia="en-US" w:bidi="en-US"/>
    </w:rPr>
  </w:style>
  <w:style w:type="character" w:customStyle="1" w:styleId="Heading10">
    <w:name w:val="Heading #1_"/>
    <w:basedOn w:val="DefaultParagraphFont"/>
    <w:qFormat/>
    <w:rPr>
      <w:rFonts w:ascii="Arial" w:eastAsia="Arial" w:hAnsi="Arial" w:cs="Arial"/>
      <w:b/>
      <w:bCs/>
      <w:i w:val="0"/>
      <w:iCs w:val="0"/>
      <w:caps w:val="0"/>
      <w:smallCaps w:val="0"/>
      <w:strike w:val="0"/>
      <w:dstrike w:val="0"/>
      <w:sz w:val="20"/>
      <w:szCs w:val="20"/>
      <w:u w:val="none"/>
    </w:rPr>
  </w:style>
  <w:style w:type="character" w:customStyle="1" w:styleId="Headerorfooter">
    <w:name w:val="Header or footer_"/>
    <w:basedOn w:val="DefaultParagraphFont"/>
    <w:qFormat/>
    <w:rPr>
      <w:rFonts w:ascii="Arial" w:eastAsia="Arial" w:hAnsi="Arial" w:cs="Arial"/>
      <w:b w:val="0"/>
      <w:bCs w:val="0"/>
      <w:i w:val="0"/>
      <w:iCs w:val="0"/>
      <w:caps w:val="0"/>
      <w:smallCaps w:val="0"/>
      <w:strike w:val="0"/>
      <w:dstrike w:val="0"/>
      <w:sz w:val="19"/>
      <w:szCs w:val="19"/>
      <w:u w:val="none"/>
    </w:rPr>
  </w:style>
  <w:style w:type="character" w:customStyle="1" w:styleId="Headerorfooter0">
    <w:name w:val="Header or footer"/>
    <w:basedOn w:val="Headerorfooter"/>
    <w:qFormat/>
    <w:rPr>
      <w:rFonts w:ascii="Arial" w:eastAsia="Arial" w:hAnsi="Arial" w:cs="Arial"/>
      <w:b w:val="0"/>
      <w:bCs w:val="0"/>
      <w:i w:val="0"/>
      <w:iCs w:val="0"/>
      <w:caps w:val="0"/>
      <w:smallCaps w:val="0"/>
      <w:strike w:val="0"/>
      <w:dstrike w:val="0"/>
      <w:color w:val="000000"/>
      <w:spacing w:val="0"/>
      <w:w w:val="100"/>
      <w:sz w:val="19"/>
      <w:szCs w:val="19"/>
      <w:u w:val="none"/>
      <w:lang w:val="en-US" w:eastAsia="en-US" w:bidi="en-US"/>
    </w:rPr>
  </w:style>
  <w:style w:type="character" w:customStyle="1" w:styleId="Bodytext3">
    <w:name w:val="Body text (3)_"/>
    <w:basedOn w:val="DefaultParagraphFont"/>
    <w:qFormat/>
    <w:rPr>
      <w:rFonts w:ascii="Arial" w:eastAsia="Arial" w:hAnsi="Arial" w:cs="Arial"/>
      <w:b w:val="0"/>
      <w:bCs w:val="0"/>
      <w:i/>
      <w:iCs/>
      <w:caps w:val="0"/>
      <w:smallCaps w:val="0"/>
      <w:strike w:val="0"/>
      <w:dstrike w:val="0"/>
      <w:sz w:val="20"/>
      <w:szCs w:val="20"/>
      <w:u w:val="none"/>
    </w:rPr>
  </w:style>
  <w:style w:type="character" w:customStyle="1" w:styleId="Heading11">
    <w:name w:val="Heading #1"/>
    <w:basedOn w:val="Heading10"/>
    <w:qFormat/>
    <w:rPr>
      <w:rFonts w:ascii="Arial" w:eastAsia="Arial" w:hAnsi="Arial" w:cs="Arial"/>
      <w:b/>
      <w:bCs/>
      <w:i w:val="0"/>
      <w:iCs w:val="0"/>
      <w:caps w:val="0"/>
      <w:smallCaps w:val="0"/>
      <w:strike w:val="0"/>
      <w:dstrike w:val="0"/>
      <w:color w:val="000000"/>
      <w:spacing w:val="0"/>
      <w:w w:val="100"/>
      <w:sz w:val="20"/>
      <w:szCs w:val="20"/>
      <w:u w:val="single"/>
      <w:lang w:val="en-US" w:eastAsia="en-US" w:bidi="en-US"/>
    </w:rPr>
  </w:style>
  <w:style w:type="character" w:customStyle="1" w:styleId="Bodytext2">
    <w:name w:val="Body text (2)_"/>
    <w:basedOn w:val="DefaultParagraphFont"/>
    <w:qFormat/>
    <w:rPr>
      <w:rFonts w:ascii="Arial" w:eastAsia="Arial" w:hAnsi="Arial" w:cs="Arial"/>
      <w:b w:val="0"/>
      <w:bCs w:val="0"/>
      <w:i w:val="0"/>
      <w:iCs w:val="0"/>
      <w:caps w:val="0"/>
      <w:smallCaps w:val="0"/>
      <w:strike w:val="0"/>
      <w:dstrike w:val="0"/>
      <w:sz w:val="20"/>
      <w:szCs w:val="20"/>
      <w:u w:val="none"/>
    </w:rPr>
  </w:style>
  <w:style w:type="character" w:customStyle="1" w:styleId="Bodytext4">
    <w:name w:val="Body text (4)_"/>
    <w:basedOn w:val="DefaultParagraphFont"/>
    <w:qFormat/>
    <w:rPr>
      <w:rFonts w:ascii="Arial" w:eastAsia="Arial" w:hAnsi="Arial" w:cs="Arial"/>
      <w:b w:val="0"/>
      <w:bCs w:val="0"/>
      <w:i w:val="0"/>
      <w:iCs w:val="0"/>
      <w:caps w:val="0"/>
      <w:smallCaps w:val="0"/>
      <w:strike w:val="0"/>
      <w:dstrike w:val="0"/>
      <w:sz w:val="14"/>
      <w:szCs w:val="14"/>
      <w:u w:val="none"/>
    </w:rPr>
  </w:style>
  <w:style w:type="character" w:customStyle="1" w:styleId="Bodytext40">
    <w:name w:val="Body text (4)"/>
    <w:basedOn w:val="Bodytext4"/>
    <w:qFormat/>
    <w:rPr>
      <w:rFonts w:ascii="Arial" w:eastAsia="Arial" w:hAnsi="Arial" w:cs="Arial"/>
      <w:b w:val="0"/>
      <w:bCs w:val="0"/>
      <w:i w:val="0"/>
      <w:iCs w:val="0"/>
      <w:caps w:val="0"/>
      <w:smallCaps w:val="0"/>
      <w:strike w:val="0"/>
      <w:dstrike w:val="0"/>
      <w:color w:val="0000FF"/>
      <w:spacing w:val="0"/>
      <w:w w:val="100"/>
      <w:sz w:val="14"/>
      <w:szCs w:val="14"/>
      <w:u w:val="none"/>
      <w:lang w:val="en-US" w:eastAsia="en-US" w:bidi="en-US"/>
    </w:rPr>
  </w:style>
  <w:style w:type="character" w:customStyle="1" w:styleId="Headerorfooter5pt">
    <w:name w:val="Header or footer + 5 pt"/>
    <w:basedOn w:val="Headerorfooter"/>
    <w:qFormat/>
    <w:rPr>
      <w:rFonts w:ascii="Arial" w:eastAsia="Arial" w:hAnsi="Arial" w:cs="Arial"/>
      <w:b w:val="0"/>
      <w:bCs w:val="0"/>
      <w:i w:val="0"/>
      <w:iCs w:val="0"/>
      <w:caps w:val="0"/>
      <w:smallCaps w:val="0"/>
      <w:strike w:val="0"/>
      <w:dstrike w:val="0"/>
      <w:color w:val="000000"/>
      <w:spacing w:val="0"/>
      <w:w w:val="100"/>
      <w:sz w:val="10"/>
      <w:szCs w:val="10"/>
      <w:u w:val="none"/>
      <w:lang w:val="en-US" w:eastAsia="en-US" w:bidi="en-US"/>
    </w:rPr>
  </w:style>
  <w:style w:type="character" w:customStyle="1" w:styleId="Bodytext2Italic">
    <w:name w:val="Body text (2) + Italic"/>
    <w:basedOn w:val="Bodytext2"/>
    <w:qFormat/>
    <w:rPr>
      <w:rFonts w:ascii="Arial" w:eastAsia="Arial" w:hAnsi="Arial" w:cs="Arial"/>
      <w:b w:val="0"/>
      <w:bCs w:val="0"/>
      <w:i/>
      <w:iCs/>
      <w:caps w:val="0"/>
      <w:smallCaps w:val="0"/>
      <w:strike w:val="0"/>
      <w:dstrike w:val="0"/>
      <w:color w:val="0000FF"/>
      <w:spacing w:val="0"/>
      <w:w w:val="100"/>
      <w:sz w:val="20"/>
      <w:szCs w:val="20"/>
      <w:u w:val="none"/>
      <w:lang w:val="en-US" w:eastAsia="en-US" w:bidi="en-US"/>
    </w:rPr>
  </w:style>
  <w:style w:type="character" w:customStyle="1" w:styleId="Heading1NotBold">
    <w:name w:val="Heading #1 + Not Bold"/>
    <w:basedOn w:val="Heading10"/>
    <w:qFormat/>
    <w:rPr>
      <w:rFonts w:ascii="Arial" w:eastAsia="Arial" w:hAnsi="Arial" w:cs="Arial"/>
      <w:b/>
      <w:bCs/>
      <w:i w:val="0"/>
      <w:iCs w:val="0"/>
      <w:caps w:val="0"/>
      <w:smallCaps w:val="0"/>
      <w:strike w:val="0"/>
      <w:dstrike w:val="0"/>
      <w:color w:val="000000"/>
      <w:spacing w:val="0"/>
      <w:w w:val="100"/>
      <w:sz w:val="20"/>
      <w:szCs w:val="20"/>
      <w:u w:val="none"/>
      <w:lang w:val="en-US" w:eastAsia="en-US" w:bidi="en-US"/>
    </w:rPr>
  </w:style>
  <w:style w:type="character" w:customStyle="1" w:styleId="Bodytext2Bold">
    <w:name w:val="Body text (2) + Bold"/>
    <w:basedOn w:val="Bodytext2"/>
    <w:qFormat/>
    <w:rPr>
      <w:rFonts w:ascii="Arial" w:eastAsia="Arial" w:hAnsi="Arial" w:cs="Arial"/>
      <w:b/>
      <w:bCs/>
      <w:i w:val="0"/>
      <w:iCs w:val="0"/>
      <w:caps w:val="0"/>
      <w:smallCaps w:val="0"/>
      <w:strike w:val="0"/>
      <w:dstrike w:val="0"/>
      <w:color w:val="000000"/>
      <w:spacing w:val="0"/>
      <w:w w:val="100"/>
      <w:sz w:val="20"/>
      <w:szCs w:val="20"/>
      <w:u w:val="none"/>
      <w:lang w:val="en-US" w:eastAsia="en-US" w:bidi="en-US"/>
    </w:rPr>
  </w:style>
  <w:style w:type="character" w:customStyle="1" w:styleId="Bodytext20">
    <w:name w:val="Body text (2)"/>
    <w:basedOn w:val="Bodytext2"/>
    <w:qFormat/>
    <w:rPr>
      <w:rFonts w:ascii="Arial" w:eastAsia="Arial" w:hAnsi="Arial" w:cs="Arial"/>
      <w:b w:val="0"/>
      <w:bCs w:val="0"/>
      <w:i w:val="0"/>
      <w:iCs w:val="0"/>
      <w:caps w:val="0"/>
      <w:smallCaps w:val="0"/>
      <w:strike w:val="0"/>
      <w:dstrike w:val="0"/>
      <w:color w:val="000000"/>
      <w:spacing w:val="0"/>
      <w:w w:val="100"/>
      <w:sz w:val="20"/>
      <w:szCs w:val="20"/>
      <w:u w:val="single"/>
      <w:lang w:val="en-US" w:eastAsia="en-US" w:bidi="en-US"/>
    </w:rPr>
  </w:style>
  <w:style w:type="character" w:customStyle="1" w:styleId="HeaderChar">
    <w:name w:val="Header Char"/>
    <w:basedOn w:val="DefaultParagraphFont"/>
    <w:qFormat/>
    <w:rPr>
      <w:color w:val="000000"/>
    </w:rPr>
  </w:style>
  <w:style w:type="character" w:customStyle="1" w:styleId="FootnoteTextChar">
    <w:name w:val="Footnote Text Char"/>
    <w:basedOn w:val="DefaultParagraphFont"/>
    <w:qFormat/>
    <w:rPr>
      <w:color w:val="000000"/>
      <w:sz w:val="20"/>
      <w:szCs w:val="20"/>
    </w:rPr>
  </w:style>
  <w:style w:type="character" w:styleId="FootnoteReference">
    <w:name w:val="footnote reference"/>
    <w:basedOn w:val="DefaultParagraphFont"/>
    <w:qFormat/>
    <w:rPr>
      <w:vertAlign w:val="superscript"/>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qFormat/>
    <w:rPr>
      <w:rFonts w:ascii="Tahoma" w:hAnsi="Tahoma" w:cs="Tahoma"/>
      <w:color w:val="000000"/>
      <w:sz w:val="16"/>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color w:val="000000"/>
      <w:sz w:val="20"/>
      <w:szCs w:val="20"/>
    </w:rPr>
  </w:style>
  <w:style w:type="character" w:customStyle="1" w:styleId="CommentSubjectChar">
    <w:name w:val="Comment Subject Char"/>
    <w:basedOn w:val="CommentTextChar"/>
    <w:qFormat/>
    <w:rPr>
      <w:b/>
      <w:bCs/>
      <w:color w:val="000000"/>
      <w:sz w:val="20"/>
      <w:szCs w:val="20"/>
    </w:rPr>
  </w:style>
  <w:style w:type="character" w:customStyle="1" w:styleId="ListLabel1">
    <w:name w:val="ListLabel 1"/>
    <w:qFormat/>
    <w:rPr>
      <w:rFonts w:eastAsia="Arial" w:cs="Arial"/>
      <w:b w:val="0"/>
      <w:bCs w:val="0"/>
      <w:i w:val="0"/>
      <w:iCs w:val="0"/>
      <w:caps w:val="0"/>
      <w:smallCaps w:val="0"/>
      <w:strike w:val="0"/>
      <w:dstrike w:val="0"/>
      <w:color w:val="000000"/>
      <w:spacing w:val="0"/>
      <w:w w:val="100"/>
      <w:sz w:val="20"/>
      <w:szCs w:val="20"/>
      <w:u w:val="none"/>
      <w:lang w:val="en-US" w:eastAsia="en-US" w:bidi="en-US"/>
    </w:rPr>
  </w:style>
  <w:style w:type="character" w:customStyle="1" w:styleId="ListLabel2">
    <w:name w:val="ListLabel 2"/>
    <w:qFormat/>
    <w:rPr>
      <w:rFonts w:eastAsia="Arial" w:cs="Arial"/>
      <w:b w:val="0"/>
      <w:bCs w:val="0"/>
      <w:i w:val="0"/>
      <w:iCs w:val="0"/>
      <w:caps w:val="0"/>
      <w:smallCaps w:val="0"/>
      <w:strike w:val="0"/>
      <w:dstrike w:val="0"/>
      <w:color w:val="000000"/>
      <w:spacing w:val="0"/>
      <w:w w:val="100"/>
      <w:sz w:val="14"/>
      <w:szCs w:val="14"/>
      <w:u w:val="none"/>
      <w:vertAlign w:val="superscript"/>
      <w:lang w:val="en-US" w:eastAsia="en-US" w:bidi="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Bitstream Vera Sans" w:hAnsi="Liberation Sans" w:cs="Bitstream Vera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ootnote1">
    <w:name w:val="Footnote"/>
    <w:basedOn w:val="Normal"/>
    <w:pPr>
      <w:shd w:val="clear" w:color="auto" w:fill="FFFFFF"/>
      <w:spacing w:line="250" w:lineRule="exact"/>
      <w:jc w:val="both"/>
    </w:pPr>
    <w:rPr>
      <w:rFonts w:ascii="Arial" w:eastAsia="Arial" w:hAnsi="Arial" w:cs="Arial"/>
      <w:sz w:val="14"/>
      <w:szCs w:val="14"/>
    </w:rPr>
  </w:style>
  <w:style w:type="paragraph" w:customStyle="1" w:styleId="Bodytext41">
    <w:name w:val="Body text (4)"/>
    <w:basedOn w:val="Normal"/>
    <w:qFormat/>
    <w:pPr>
      <w:shd w:val="clear" w:color="auto" w:fill="FFFFFF"/>
      <w:spacing w:before="480" w:line="250" w:lineRule="exact"/>
      <w:ind w:hanging="380"/>
      <w:jc w:val="both"/>
    </w:pPr>
    <w:rPr>
      <w:rFonts w:ascii="Arial" w:eastAsia="Arial" w:hAnsi="Arial" w:cs="Arial"/>
      <w:sz w:val="14"/>
      <w:szCs w:val="14"/>
    </w:rPr>
  </w:style>
  <w:style w:type="paragraph" w:customStyle="1" w:styleId="Heading12">
    <w:name w:val="Heading #1"/>
    <w:basedOn w:val="Normal"/>
    <w:qFormat/>
    <w:pPr>
      <w:shd w:val="clear" w:color="auto" w:fill="FFFFFF"/>
      <w:spacing w:after="280" w:line="224" w:lineRule="exact"/>
      <w:ind w:hanging="400"/>
      <w:jc w:val="both"/>
      <w:outlineLvl w:val="0"/>
    </w:pPr>
    <w:rPr>
      <w:rFonts w:ascii="Arial" w:eastAsia="Arial" w:hAnsi="Arial" w:cs="Arial"/>
      <w:b/>
      <w:bCs/>
      <w:sz w:val="20"/>
      <w:szCs w:val="20"/>
    </w:rPr>
  </w:style>
  <w:style w:type="paragraph" w:customStyle="1" w:styleId="Headerorfooter1">
    <w:name w:val="Header or footer"/>
    <w:basedOn w:val="Normal"/>
    <w:qFormat/>
    <w:pPr>
      <w:shd w:val="clear" w:color="auto" w:fill="FFFFFF"/>
      <w:spacing w:line="212" w:lineRule="exact"/>
    </w:pPr>
    <w:rPr>
      <w:rFonts w:ascii="Arial" w:eastAsia="Arial" w:hAnsi="Arial" w:cs="Arial"/>
      <w:sz w:val="19"/>
      <w:szCs w:val="19"/>
    </w:rPr>
  </w:style>
  <w:style w:type="paragraph" w:customStyle="1" w:styleId="Bodytext30">
    <w:name w:val="Body text (3)"/>
    <w:basedOn w:val="Normal"/>
    <w:qFormat/>
    <w:pPr>
      <w:shd w:val="clear" w:color="auto" w:fill="FFFFFF"/>
      <w:spacing w:before="280" w:after="280" w:line="307" w:lineRule="exact"/>
      <w:ind w:hanging="380"/>
      <w:jc w:val="both"/>
    </w:pPr>
    <w:rPr>
      <w:rFonts w:ascii="Arial" w:eastAsia="Arial" w:hAnsi="Arial" w:cs="Arial"/>
      <w:i/>
      <w:iCs/>
      <w:sz w:val="20"/>
      <w:szCs w:val="20"/>
    </w:rPr>
  </w:style>
  <w:style w:type="paragraph" w:customStyle="1" w:styleId="Bodytext21">
    <w:name w:val="Body text (2)"/>
    <w:basedOn w:val="Normal"/>
    <w:qFormat/>
    <w:pPr>
      <w:shd w:val="clear" w:color="auto" w:fill="FFFFFF"/>
      <w:spacing w:before="280" w:after="100" w:line="307" w:lineRule="exact"/>
      <w:ind w:hanging="400"/>
      <w:jc w:val="both"/>
    </w:pPr>
    <w:rPr>
      <w:rFonts w:ascii="Arial" w:eastAsia="Arial" w:hAnsi="Arial" w:cs="Arial"/>
      <w:sz w:val="20"/>
      <w:szCs w:val="20"/>
    </w:rPr>
  </w:style>
  <w:style w:type="paragraph" w:styleId="Header">
    <w:name w:val="header"/>
    <w:basedOn w:val="Normal"/>
    <w:pPr>
      <w:tabs>
        <w:tab w:val="center" w:pos="4536"/>
        <w:tab w:val="right" w:pos="9072"/>
      </w:tabs>
    </w:pPr>
  </w:style>
  <w:style w:type="paragraph" w:styleId="FootnoteText">
    <w:name w:val="footnote text"/>
    <w:basedOn w:val="Normal"/>
    <w:qFormat/>
    <w:rPr>
      <w:sz w:val="20"/>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Footer">
    <w:name w:val="footer"/>
    <w:basedOn w:val="Normal"/>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qFormat/>
    <w:rPr>
      <w:rFonts w:ascii="Arial" w:eastAsia="Arial" w:hAnsi="Arial" w:cs="Arial"/>
      <w:b w:val="0"/>
      <w:bCs w:val="0"/>
      <w:i w:val="0"/>
      <w:iCs w:val="0"/>
      <w:caps w:val="0"/>
      <w:smallCaps w:val="0"/>
      <w:strike w:val="0"/>
      <w:dstrike w:val="0"/>
      <w:sz w:val="14"/>
      <w:szCs w:val="14"/>
      <w:u w:val="none"/>
    </w:rPr>
  </w:style>
  <w:style w:type="character" w:customStyle="1" w:styleId="Footnote75pt">
    <w:name w:val="Footnote + 7.5 pt"/>
    <w:basedOn w:val="Footnote"/>
    <w:qFormat/>
    <w:rPr>
      <w:rFonts w:ascii="Arial" w:eastAsia="Arial" w:hAnsi="Arial" w:cs="Arial"/>
      <w:b w:val="0"/>
      <w:bCs w:val="0"/>
      <w:i/>
      <w:iCs/>
      <w:caps w:val="0"/>
      <w:smallCaps w:val="0"/>
      <w:strike w:val="0"/>
      <w:dstrike w:val="0"/>
      <w:color w:val="0000FF"/>
      <w:spacing w:val="0"/>
      <w:w w:val="100"/>
      <w:sz w:val="15"/>
      <w:szCs w:val="15"/>
      <w:u w:val="single"/>
      <w:lang w:val="en-US" w:eastAsia="en-US" w:bidi="en-US"/>
    </w:rPr>
  </w:style>
  <w:style w:type="character" w:customStyle="1" w:styleId="Footnote0">
    <w:name w:val="Footnote"/>
    <w:basedOn w:val="Footnote"/>
    <w:qFormat/>
    <w:rPr>
      <w:rFonts w:ascii="Arial" w:eastAsia="Arial" w:hAnsi="Arial" w:cs="Arial"/>
      <w:b w:val="0"/>
      <w:bCs w:val="0"/>
      <w:i w:val="0"/>
      <w:iCs w:val="0"/>
      <w:caps w:val="0"/>
      <w:smallCaps w:val="0"/>
      <w:strike w:val="0"/>
      <w:dstrike w:val="0"/>
      <w:color w:val="0000FF"/>
      <w:spacing w:val="0"/>
      <w:w w:val="100"/>
      <w:sz w:val="14"/>
      <w:szCs w:val="14"/>
      <w:u w:val="single"/>
      <w:lang w:val="en-US" w:eastAsia="en-US" w:bidi="en-US"/>
    </w:rPr>
  </w:style>
  <w:style w:type="character" w:customStyle="1" w:styleId="Bodytext4Exact">
    <w:name w:val="Body text (4) Exact"/>
    <w:basedOn w:val="DefaultParagraphFont"/>
    <w:qFormat/>
    <w:rPr>
      <w:rFonts w:ascii="Arial" w:eastAsia="Arial" w:hAnsi="Arial" w:cs="Arial"/>
      <w:b w:val="0"/>
      <w:bCs w:val="0"/>
      <w:i w:val="0"/>
      <w:iCs w:val="0"/>
      <w:caps w:val="0"/>
      <w:smallCaps w:val="0"/>
      <w:strike w:val="0"/>
      <w:dstrike w:val="0"/>
      <w:sz w:val="14"/>
      <w:szCs w:val="14"/>
      <w:u w:val="none"/>
    </w:rPr>
  </w:style>
  <w:style w:type="character" w:customStyle="1" w:styleId="Bodytext475pt">
    <w:name w:val="Body text (4) + 7.5 pt"/>
    <w:basedOn w:val="Bodytext4"/>
    <w:qFormat/>
    <w:rPr>
      <w:rFonts w:ascii="Arial" w:eastAsia="Arial" w:hAnsi="Arial" w:cs="Arial"/>
      <w:b w:val="0"/>
      <w:bCs w:val="0"/>
      <w:i/>
      <w:iCs/>
      <w:caps w:val="0"/>
      <w:smallCaps w:val="0"/>
      <w:strike w:val="0"/>
      <w:dstrike w:val="0"/>
      <w:color w:val="000000"/>
      <w:spacing w:val="0"/>
      <w:w w:val="100"/>
      <w:sz w:val="15"/>
      <w:szCs w:val="15"/>
      <w:u w:val="none"/>
      <w:lang w:val="en-US" w:eastAsia="en-US" w:bidi="en-US"/>
    </w:rPr>
  </w:style>
  <w:style w:type="character" w:customStyle="1" w:styleId="Heading10">
    <w:name w:val="Heading #1_"/>
    <w:basedOn w:val="DefaultParagraphFont"/>
    <w:qFormat/>
    <w:rPr>
      <w:rFonts w:ascii="Arial" w:eastAsia="Arial" w:hAnsi="Arial" w:cs="Arial"/>
      <w:b/>
      <w:bCs/>
      <w:i w:val="0"/>
      <w:iCs w:val="0"/>
      <w:caps w:val="0"/>
      <w:smallCaps w:val="0"/>
      <w:strike w:val="0"/>
      <w:dstrike w:val="0"/>
      <w:sz w:val="20"/>
      <w:szCs w:val="20"/>
      <w:u w:val="none"/>
    </w:rPr>
  </w:style>
  <w:style w:type="character" w:customStyle="1" w:styleId="Headerorfooter">
    <w:name w:val="Header or footer_"/>
    <w:basedOn w:val="DefaultParagraphFont"/>
    <w:qFormat/>
    <w:rPr>
      <w:rFonts w:ascii="Arial" w:eastAsia="Arial" w:hAnsi="Arial" w:cs="Arial"/>
      <w:b w:val="0"/>
      <w:bCs w:val="0"/>
      <w:i w:val="0"/>
      <w:iCs w:val="0"/>
      <w:caps w:val="0"/>
      <w:smallCaps w:val="0"/>
      <w:strike w:val="0"/>
      <w:dstrike w:val="0"/>
      <w:sz w:val="19"/>
      <w:szCs w:val="19"/>
      <w:u w:val="none"/>
    </w:rPr>
  </w:style>
  <w:style w:type="character" w:customStyle="1" w:styleId="Headerorfooter0">
    <w:name w:val="Header or footer"/>
    <w:basedOn w:val="Headerorfooter"/>
    <w:qFormat/>
    <w:rPr>
      <w:rFonts w:ascii="Arial" w:eastAsia="Arial" w:hAnsi="Arial" w:cs="Arial"/>
      <w:b w:val="0"/>
      <w:bCs w:val="0"/>
      <w:i w:val="0"/>
      <w:iCs w:val="0"/>
      <w:caps w:val="0"/>
      <w:smallCaps w:val="0"/>
      <w:strike w:val="0"/>
      <w:dstrike w:val="0"/>
      <w:color w:val="000000"/>
      <w:spacing w:val="0"/>
      <w:w w:val="100"/>
      <w:sz w:val="19"/>
      <w:szCs w:val="19"/>
      <w:u w:val="none"/>
      <w:lang w:val="en-US" w:eastAsia="en-US" w:bidi="en-US"/>
    </w:rPr>
  </w:style>
  <w:style w:type="character" w:customStyle="1" w:styleId="Bodytext3">
    <w:name w:val="Body text (3)_"/>
    <w:basedOn w:val="DefaultParagraphFont"/>
    <w:qFormat/>
    <w:rPr>
      <w:rFonts w:ascii="Arial" w:eastAsia="Arial" w:hAnsi="Arial" w:cs="Arial"/>
      <w:b w:val="0"/>
      <w:bCs w:val="0"/>
      <w:i/>
      <w:iCs/>
      <w:caps w:val="0"/>
      <w:smallCaps w:val="0"/>
      <w:strike w:val="0"/>
      <w:dstrike w:val="0"/>
      <w:sz w:val="20"/>
      <w:szCs w:val="20"/>
      <w:u w:val="none"/>
    </w:rPr>
  </w:style>
  <w:style w:type="character" w:customStyle="1" w:styleId="Heading11">
    <w:name w:val="Heading #1"/>
    <w:basedOn w:val="Heading10"/>
    <w:qFormat/>
    <w:rPr>
      <w:rFonts w:ascii="Arial" w:eastAsia="Arial" w:hAnsi="Arial" w:cs="Arial"/>
      <w:b/>
      <w:bCs/>
      <w:i w:val="0"/>
      <w:iCs w:val="0"/>
      <w:caps w:val="0"/>
      <w:smallCaps w:val="0"/>
      <w:strike w:val="0"/>
      <w:dstrike w:val="0"/>
      <w:color w:val="000000"/>
      <w:spacing w:val="0"/>
      <w:w w:val="100"/>
      <w:sz w:val="20"/>
      <w:szCs w:val="20"/>
      <w:u w:val="single"/>
      <w:lang w:val="en-US" w:eastAsia="en-US" w:bidi="en-US"/>
    </w:rPr>
  </w:style>
  <w:style w:type="character" w:customStyle="1" w:styleId="Bodytext2">
    <w:name w:val="Body text (2)_"/>
    <w:basedOn w:val="DefaultParagraphFont"/>
    <w:qFormat/>
    <w:rPr>
      <w:rFonts w:ascii="Arial" w:eastAsia="Arial" w:hAnsi="Arial" w:cs="Arial"/>
      <w:b w:val="0"/>
      <w:bCs w:val="0"/>
      <w:i w:val="0"/>
      <w:iCs w:val="0"/>
      <w:caps w:val="0"/>
      <w:smallCaps w:val="0"/>
      <w:strike w:val="0"/>
      <w:dstrike w:val="0"/>
      <w:sz w:val="20"/>
      <w:szCs w:val="20"/>
      <w:u w:val="none"/>
    </w:rPr>
  </w:style>
  <w:style w:type="character" w:customStyle="1" w:styleId="Bodytext4">
    <w:name w:val="Body text (4)_"/>
    <w:basedOn w:val="DefaultParagraphFont"/>
    <w:qFormat/>
    <w:rPr>
      <w:rFonts w:ascii="Arial" w:eastAsia="Arial" w:hAnsi="Arial" w:cs="Arial"/>
      <w:b w:val="0"/>
      <w:bCs w:val="0"/>
      <w:i w:val="0"/>
      <w:iCs w:val="0"/>
      <w:caps w:val="0"/>
      <w:smallCaps w:val="0"/>
      <w:strike w:val="0"/>
      <w:dstrike w:val="0"/>
      <w:sz w:val="14"/>
      <w:szCs w:val="14"/>
      <w:u w:val="none"/>
    </w:rPr>
  </w:style>
  <w:style w:type="character" w:customStyle="1" w:styleId="Bodytext40">
    <w:name w:val="Body text (4)"/>
    <w:basedOn w:val="Bodytext4"/>
    <w:qFormat/>
    <w:rPr>
      <w:rFonts w:ascii="Arial" w:eastAsia="Arial" w:hAnsi="Arial" w:cs="Arial"/>
      <w:b w:val="0"/>
      <w:bCs w:val="0"/>
      <w:i w:val="0"/>
      <w:iCs w:val="0"/>
      <w:caps w:val="0"/>
      <w:smallCaps w:val="0"/>
      <w:strike w:val="0"/>
      <w:dstrike w:val="0"/>
      <w:color w:val="0000FF"/>
      <w:spacing w:val="0"/>
      <w:w w:val="100"/>
      <w:sz w:val="14"/>
      <w:szCs w:val="14"/>
      <w:u w:val="none"/>
      <w:lang w:val="en-US" w:eastAsia="en-US" w:bidi="en-US"/>
    </w:rPr>
  </w:style>
  <w:style w:type="character" w:customStyle="1" w:styleId="Headerorfooter5pt">
    <w:name w:val="Header or footer + 5 pt"/>
    <w:basedOn w:val="Headerorfooter"/>
    <w:qFormat/>
    <w:rPr>
      <w:rFonts w:ascii="Arial" w:eastAsia="Arial" w:hAnsi="Arial" w:cs="Arial"/>
      <w:b w:val="0"/>
      <w:bCs w:val="0"/>
      <w:i w:val="0"/>
      <w:iCs w:val="0"/>
      <w:caps w:val="0"/>
      <w:smallCaps w:val="0"/>
      <w:strike w:val="0"/>
      <w:dstrike w:val="0"/>
      <w:color w:val="000000"/>
      <w:spacing w:val="0"/>
      <w:w w:val="100"/>
      <w:sz w:val="10"/>
      <w:szCs w:val="10"/>
      <w:u w:val="none"/>
      <w:lang w:val="en-US" w:eastAsia="en-US" w:bidi="en-US"/>
    </w:rPr>
  </w:style>
  <w:style w:type="character" w:customStyle="1" w:styleId="Bodytext2Italic">
    <w:name w:val="Body text (2) + Italic"/>
    <w:basedOn w:val="Bodytext2"/>
    <w:qFormat/>
    <w:rPr>
      <w:rFonts w:ascii="Arial" w:eastAsia="Arial" w:hAnsi="Arial" w:cs="Arial"/>
      <w:b w:val="0"/>
      <w:bCs w:val="0"/>
      <w:i/>
      <w:iCs/>
      <w:caps w:val="0"/>
      <w:smallCaps w:val="0"/>
      <w:strike w:val="0"/>
      <w:dstrike w:val="0"/>
      <w:color w:val="0000FF"/>
      <w:spacing w:val="0"/>
      <w:w w:val="100"/>
      <w:sz w:val="20"/>
      <w:szCs w:val="20"/>
      <w:u w:val="none"/>
      <w:lang w:val="en-US" w:eastAsia="en-US" w:bidi="en-US"/>
    </w:rPr>
  </w:style>
  <w:style w:type="character" w:customStyle="1" w:styleId="Heading1NotBold">
    <w:name w:val="Heading #1 + Not Bold"/>
    <w:basedOn w:val="Heading10"/>
    <w:qFormat/>
    <w:rPr>
      <w:rFonts w:ascii="Arial" w:eastAsia="Arial" w:hAnsi="Arial" w:cs="Arial"/>
      <w:b/>
      <w:bCs/>
      <w:i w:val="0"/>
      <w:iCs w:val="0"/>
      <w:caps w:val="0"/>
      <w:smallCaps w:val="0"/>
      <w:strike w:val="0"/>
      <w:dstrike w:val="0"/>
      <w:color w:val="000000"/>
      <w:spacing w:val="0"/>
      <w:w w:val="100"/>
      <w:sz w:val="20"/>
      <w:szCs w:val="20"/>
      <w:u w:val="none"/>
      <w:lang w:val="en-US" w:eastAsia="en-US" w:bidi="en-US"/>
    </w:rPr>
  </w:style>
  <w:style w:type="character" w:customStyle="1" w:styleId="Bodytext2Bold">
    <w:name w:val="Body text (2) + Bold"/>
    <w:basedOn w:val="Bodytext2"/>
    <w:qFormat/>
    <w:rPr>
      <w:rFonts w:ascii="Arial" w:eastAsia="Arial" w:hAnsi="Arial" w:cs="Arial"/>
      <w:b/>
      <w:bCs/>
      <w:i w:val="0"/>
      <w:iCs w:val="0"/>
      <w:caps w:val="0"/>
      <w:smallCaps w:val="0"/>
      <w:strike w:val="0"/>
      <w:dstrike w:val="0"/>
      <w:color w:val="000000"/>
      <w:spacing w:val="0"/>
      <w:w w:val="100"/>
      <w:sz w:val="20"/>
      <w:szCs w:val="20"/>
      <w:u w:val="none"/>
      <w:lang w:val="en-US" w:eastAsia="en-US" w:bidi="en-US"/>
    </w:rPr>
  </w:style>
  <w:style w:type="character" w:customStyle="1" w:styleId="Bodytext20">
    <w:name w:val="Body text (2)"/>
    <w:basedOn w:val="Bodytext2"/>
    <w:qFormat/>
    <w:rPr>
      <w:rFonts w:ascii="Arial" w:eastAsia="Arial" w:hAnsi="Arial" w:cs="Arial"/>
      <w:b w:val="0"/>
      <w:bCs w:val="0"/>
      <w:i w:val="0"/>
      <w:iCs w:val="0"/>
      <w:caps w:val="0"/>
      <w:smallCaps w:val="0"/>
      <w:strike w:val="0"/>
      <w:dstrike w:val="0"/>
      <w:color w:val="000000"/>
      <w:spacing w:val="0"/>
      <w:w w:val="100"/>
      <w:sz w:val="20"/>
      <w:szCs w:val="20"/>
      <w:u w:val="single"/>
      <w:lang w:val="en-US" w:eastAsia="en-US" w:bidi="en-US"/>
    </w:rPr>
  </w:style>
  <w:style w:type="character" w:customStyle="1" w:styleId="HeaderChar">
    <w:name w:val="Header Char"/>
    <w:basedOn w:val="DefaultParagraphFont"/>
    <w:qFormat/>
    <w:rPr>
      <w:color w:val="000000"/>
    </w:rPr>
  </w:style>
  <w:style w:type="character" w:customStyle="1" w:styleId="FootnoteTextChar">
    <w:name w:val="Footnote Text Char"/>
    <w:basedOn w:val="DefaultParagraphFont"/>
    <w:qFormat/>
    <w:rPr>
      <w:color w:val="000000"/>
      <w:sz w:val="20"/>
      <w:szCs w:val="20"/>
    </w:rPr>
  </w:style>
  <w:style w:type="character" w:styleId="FootnoteReference">
    <w:name w:val="footnote reference"/>
    <w:basedOn w:val="DefaultParagraphFont"/>
    <w:qFormat/>
    <w:rPr>
      <w:vertAlign w:val="superscript"/>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qFormat/>
    <w:rPr>
      <w:rFonts w:ascii="Tahoma" w:hAnsi="Tahoma" w:cs="Tahoma"/>
      <w:color w:val="000000"/>
      <w:sz w:val="16"/>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color w:val="000000"/>
      <w:sz w:val="20"/>
      <w:szCs w:val="20"/>
    </w:rPr>
  </w:style>
  <w:style w:type="character" w:customStyle="1" w:styleId="CommentSubjectChar">
    <w:name w:val="Comment Subject Char"/>
    <w:basedOn w:val="CommentTextChar"/>
    <w:qFormat/>
    <w:rPr>
      <w:b/>
      <w:bCs/>
      <w:color w:val="000000"/>
      <w:sz w:val="20"/>
      <w:szCs w:val="20"/>
    </w:rPr>
  </w:style>
  <w:style w:type="character" w:customStyle="1" w:styleId="ListLabel1">
    <w:name w:val="ListLabel 1"/>
    <w:qFormat/>
    <w:rPr>
      <w:rFonts w:eastAsia="Arial" w:cs="Arial"/>
      <w:b w:val="0"/>
      <w:bCs w:val="0"/>
      <w:i w:val="0"/>
      <w:iCs w:val="0"/>
      <w:caps w:val="0"/>
      <w:smallCaps w:val="0"/>
      <w:strike w:val="0"/>
      <w:dstrike w:val="0"/>
      <w:color w:val="000000"/>
      <w:spacing w:val="0"/>
      <w:w w:val="100"/>
      <w:sz w:val="20"/>
      <w:szCs w:val="20"/>
      <w:u w:val="none"/>
      <w:lang w:val="en-US" w:eastAsia="en-US" w:bidi="en-US"/>
    </w:rPr>
  </w:style>
  <w:style w:type="character" w:customStyle="1" w:styleId="ListLabel2">
    <w:name w:val="ListLabel 2"/>
    <w:qFormat/>
    <w:rPr>
      <w:rFonts w:eastAsia="Arial" w:cs="Arial"/>
      <w:b w:val="0"/>
      <w:bCs w:val="0"/>
      <w:i w:val="0"/>
      <w:iCs w:val="0"/>
      <w:caps w:val="0"/>
      <w:smallCaps w:val="0"/>
      <w:strike w:val="0"/>
      <w:dstrike w:val="0"/>
      <w:color w:val="000000"/>
      <w:spacing w:val="0"/>
      <w:w w:val="100"/>
      <w:sz w:val="14"/>
      <w:szCs w:val="14"/>
      <w:u w:val="none"/>
      <w:vertAlign w:val="superscript"/>
      <w:lang w:val="en-US" w:eastAsia="en-US" w:bidi="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Bitstream Vera Sans" w:hAnsi="Liberation Sans" w:cs="Bitstream Vera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ootnote1">
    <w:name w:val="Footnote"/>
    <w:basedOn w:val="Normal"/>
    <w:pPr>
      <w:shd w:val="clear" w:color="auto" w:fill="FFFFFF"/>
      <w:spacing w:line="250" w:lineRule="exact"/>
      <w:jc w:val="both"/>
    </w:pPr>
    <w:rPr>
      <w:rFonts w:ascii="Arial" w:eastAsia="Arial" w:hAnsi="Arial" w:cs="Arial"/>
      <w:sz w:val="14"/>
      <w:szCs w:val="14"/>
    </w:rPr>
  </w:style>
  <w:style w:type="paragraph" w:customStyle="1" w:styleId="Bodytext41">
    <w:name w:val="Body text (4)"/>
    <w:basedOn w:val="Normal"/>
    <w:qFormat/>
    <w:pPr>
      <w:shd w:val="clear" w:color="auto" w:fill="FFFFFF"/>
      <w:spacing w:before="480" w:line="250" w:lineRule="exact"/>
      <w:ind w:hanging="380"/>
      <w:jc w:val="both"/>
    </w:pPr>
    <w:rPr>
      <w:rFonts w:ascii="Arial" w:eastAsia="Arial" w:hAnsi="Arial" w:cs="Arial"/>
      <w:sz w:val="14"/>
      <w:szCs w:val="14"/>
    </w:rPr>
  </w:style>
  <w:style w:type="paragraph" w:customStyle="1" w:styleId="Heading12">
    <w:name w:val="Heading #1"/>
    <w:basedOn w:val="Normal"/>
    <w:qFormat/>
    <w:pPr>
      <w:shd w:val="clear" w:color="auto" w:fill="FFFFFF"/>
      <w:spacing w:after="280" w:line="224" w:lineRule="exact"/>
      <w:ind w:hanging="400"/>
      <w:jc w:val="both"/>
      <w:outlineLvl w:val="0"/>
    </w:pPr>
    <w:rPr>
      <w:rFonts w:ascii="Arial" w:eastAsia="Arial" w:hAnsi="Arial" w:cs="Arial"/>
      <w:b/>
      <w:bCs/>
      <w:sz w:val="20"/>
      <w:szCs w:val="20"/>
    </w:rPr>
  </w:style>
  <w:style w:type="paragraph" w:customStyle="1" w:styleId="Headerorfooter1">
    <w:name w:val="Header or footer"/>
    <w:basedOn w:val="Normal"/>
    <w:qFormat/>
    <w:pPr>
      <w:shd w:val="clear" w:color="auto" w:fill="FFFFFF"/>
      <w:spacing w:line="212" w:lineRule="exact"/>
    </w:pPr>
    <w:rPr>
      <w:rFonts w:ascii="Arial" w:eastAsia="Arial" w:hAnsi="Arial" w:cs="Arial"/>
      <w:sz w:val="19"/>
      <w:szCs w:val="19"/>
    </w:rPr>
  </w:style>
  <w:style w:type="paragraph" w:customStyle="1" w:styleId="Bodytext30">
    <w:name w:val="Body text (3)"/>
    <w:basedOn w:val="Normal"/>
    <w:qFormat/>
    <w:pPr>
      <w:shd w:val="clear" w:color="auto" w:fill="FFFFFF"/>
      <w:spacing w:before="280" w:after="280" w:line="307" w:lineRule="exact"/>
      <w:ind w:hanging="380"/>
      <w:jc w:val="both"/>
    </w:pPr>
    <w:rPr>
      <w:rFonts w:ascii="Arial" w:eastAsia="Arial" w:hAnsi="Arial" w:cs="Arial"/>
      <w:i/>
      <w:iCs/>
      <w:sz w:val="20"/>
      <w:szCs w:val="20"/>
    </w:rPr>
  </w:style>
  <w:style w:type="paragraph" w:customStyle="1" w:styleId="Bodytext21">
    <w:name w:val="Body text (2)"/>
    <w:basedOn w:val="Normal"/>
    <w:qFormat/>
    <w:pPr>
      <w:shd w:val="clear" w:color="auto" w:fill="FFFFFF"/>
      <w:spacing w:before="280" w:after="100" w:line="307" w:lineRule="exact"/>
      <w:ind w:hanging="400"/>
      <w:jc w:val="both"/>
    </w:pPr>
    <w:rPr>
      <w:rFonts w:ascii="Arial" w:eastAsia="Arial" w:hAnsi="Arial" w:cs="Arial"/>
      <w:sz w:val="20"/>
      <w:szCs w:val="20"/>
    </w:rPr>
  </w:style>
  <w:style w:type="paragraph" w:styleId="Header">
    <w:name w:val="header"/>
    <w:basedOn w:val="Normal"/>
    <w:pPr>
      <w:tabs>
        <w:tab w:val="center" w:pos="4536"/>
        <w:tab w:val="right" w:pos="9072"/>
      </w:tabs>
    </w:pPr>
  </w:style>
  <w:style w:type="paragraph" w:styleId="FootnoteText">
    <w:name w:val="footnote text"/>
    <w:basedOn w:val="Normal"/>
    <w:qFormat/>
    <w:rPr>
      <w:sz w:val="20"/>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Footer">
    <w:name w:val="footer"/>
    <w:basedOn w:val="Normal"/>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cases/199545/199545_516648_24_2.pdf" TargetMode="External"/><Relationship Id="rId1" Type="http://schemas.openxmlformats.org/officeDocument/2006/relationships/hyperlink" Target="http://ec.europa.eu/competition/state_aid/modernisation/notice_aid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Европейска комисия</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GROZEA Camelia (COMP)</dc:creator>
  <cp:lastModifiedBy>Ивелина Кирилова</cp:lastModifiedBy>
  <cp:revision>2</cp:revision>
  <cp:lastPrinted>2017-05-03T07:50:00Z</cp:lastPrinted>
  <dcterms:created xsi:type="dcterms:W3CDTF">2017-06-05T11:50:00Z</dcterms:created>
  <dcterms:modified xsi:type="dcterms:W3CDTF">2017-06-05T11:50:00Z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Европейска комисия</vt:lpwstr>
  </property>
  <property fmtid="{D5CDD505-2E9C-101B-9397-08002B2CF9AE}" pid="4" name="DocSecurity">
    <vt:i4>0</vt:i4>
  </property>
</Properties>
</file>